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C5" w:rsidRDefault="003F67C5" w:rsidP="0016410B">
      <w:pPr>
        <w:spacing w:after="0"/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 w:firstRow="1" w:lastRow="0" w:firstColumn="1" w:lastColumn="0" w:noHBand="0" w:noVBand="0"/>
      </w:tblPr>
      <w:tblGrid>
        <w:gridCol w:w="710"/>
        <w:gridCol w:w="567"/>
        <w:gridCol w:w="591"/>
        <w:gridCol w:w="8624"/>
      </w:tblGrid>
      <w:tr w:rsidR="003672B8" w:rsidRPr="00052E21" w:rsidTr="00272E73">
        <w:trPr>
          <w:cantSplit/>
        </w:trPr>
        <w:tc>
          <w:tcPr>
            <w:tcW w:w="710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052E21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052E21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672B8" w:rsidRPr="00052E21" w:rsidRDefault="004E52A4" w:rsidP="00052E21">
            <w:pPr>
              <w:numPr>
                <w:ilvl w:val="0"/>
                <w:numId w:val="4"/>
              </w:num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szCs w:val="24"/>
              </w:rPr>
              <w:t>Organisatorische Maßnahmen</w:t>
            </w:r>
            <w:r w:rsidR="003672B8" w:rsidRPr="00052E21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16410B" w:rsidRPr="00052E21" w:rsidRDefault="0016410B" w:rsidP="004E52A4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bCs/>
                <w:sz w:val="22"/>
                <w:szCs w:val="22"/>
              </w:rPr>
              <w:t xml:space="preserve">Ein aktuelles Gefahrstoffverzeichnis liegt vor, d.h. die Gefahrstoffe werden mit </w:t>
            </w:r>
            <w:r w:rsidR="004E52A4">
              <w:rPr>
                <w:rFonts w:cs="Arial"/>
                <w:bCs/>
                <w:sz w:val="22"/>
                <w:szCs w:val="22"/>
              </w:rPr>
              <w:t>dem zentralen Gefahrstoffkataster DaMa</w:t>
            </w:r>
            <w:r w:rsidRPr="00052E21">
              <w:rPr>
                <w:rFonts w:cs="Arial"/>
                <w:bCs/>
                <w:sz w:val="22"/>
                <w:szCs w:val="22"/>
              </w:rPr>
              <w:t>RIS erfasst</w:t>
            </w:r>
          </w:p>
        </w:tc>
      </w:tr>
      <w:tr w:rsidR="00E22B62" w:rsidRPr="00052E21" w:rsidTr="009A1C7A">
        <w:trPr>
          <w:cantSplit/>
        </w:trPr>
        <w:tc>
          <w:tcPr>
            <w:tcW w:w="7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22B62" w:rsidRDefault="00E22B62" w:rsidP="009A1C7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2B62" w:rsidRDefault="00E22B62" w:rsidP="009A1C7A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62" w:rsidRDefault="00E22B62" w:rsidP="009A1C7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2B62" w:rsidRPr="00052E21" w:rsidRDefault="00E22B62" w:rsidP="00E22B62">
            <w:pPr>
              <w:numPr>
                <w:ilvl w:val="1"/>
                <w:numId w:val="1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Alle</w:t>
            </w:r>
            <w:r>
              <w:rPr>
                <w:rFonts w:cs="Arial"/>
                <w:sz w:val="22"/>
                <w:szCs w:val="22"/>
              </w:rPr>
              <w:t xml:space="preserve"> im Arbeitsbereich vorhandenen </w:t>
            </w:r>
            <w:r w:rsidRPr="00052E21">
              <w:rPr>
                <w:rFonts w:cs="Arial"/>
                <w:sz w:val="22"/>
                <w:szCs w:val="22"/>
              </w:rPr>
              <w:t>Gefahrstoffgefäße werden mind. 1x jährlich auf ihren ordnungsgemäßen Zustand und auf ihre weitere Verwendungsmöglichkeit geprüft.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Pr="00052E21">
              <w:rPr>
                <w:rFonts w:cs="Arial"/>
                <w:i/>
                <w:sz w:val="22"/>
                <w:szCs w:val="22"/>
              </w:rPr>
              <w:t>(</w:t>
            </w:r>
            <w:r>
              <w:rPr>
                <w:rFonts w:cs="Arial"/>
                <w:i/>
                <w:sz w:val="22"/>
                <w:szCs w:val="22"/>
              </w:rPr>
              <w:t>auf poröse Kunststoffbehälter achten; n</w:t>
            </w:r>
            <w:r w:rsidRPr="00052E21">
              <w:rPr>
                <w:rFonts w:cs="Arial"/>
                <w:i/>
                <w:sz w:val="22"/>
                <w:szCs w:val="22"/>
              </w:rPr>
              <w:t>icht mehr benötigte oder unbrauchbar gewordene Gefahrstoffe werden über das Sonderabfalllager entsorgt)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16410B" w:rsidRPr="00052E21" w:rsidRDefault="0016410B" w:rsidP="00E22B62">
            <w:pPr>
              <w:numPr>
                <w:ilvl w:val="1"/>
                <w:numId w:val="1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 xml:space="preserve">Für jeden Gefahrstoff (auch Gase) ist ein aktuelles Sicherheitsdatenblatt vorhanden und </w:t>
            </w:r>
            <w:r w:rsidR="004E52A4">
              <w:rPr>
                <w:rFonts w:cs="Arial"/>
                <w:sz w:val="22"/>
                <w:szCs w:val="22"/>
              </w:rPr>
              <w:t>für die MitarbeiterInnen</w:t>
            </w:r>
            <w:r w:rsidRPr="00052E21">
              <w:rPr>
                <w:rFonts w:cs="Arial"/>
                <w:sz w:val="22"/>
                <w:szCs w:val="22"/>
              </w:rPr>
              <w:t xml:space="preserve"> jederzeit zugänglich</w:t>
            </w:r>
            <w:r w:rsidR="004E52A4">
              <w:rPr>
                <w:rFonts w:cs="Arial"/>
                <w:sz w:val="22"/>
                <w:szCs w:val="22"/>
              </w:rPr>
              <w:t xml:space="preserve"> aufbewahrt</w:t>
            </w:r>
            <w:r w:rsidRPr="00052E21">
              <w:rPr>
                <w:rFonts w:cs="Arial"/>
                <w:sz w:val="22"/>
                <w:szCs w:val="22"/>
              </w:rPr>
              <w:t>.</w:t>
            </w:r>
            <w:r w:rsidRPr="00052E21">
              <w:rPr>
                <w:rFonts w:cs="Arial"/>
                <w:sz w:val="22"/>
                <w:szCs w:val="22"/>
              </w:rPr>
              <w:br/>
              <w:t>Die Mitarbeiter</w:t>
            </w:r>
            <w:r w:rsidR="004E52A4">
              <w:rPr>
                <w:rFonts w:cs="Arial"/>
                <w:sz w:val="22"/>
                <w:szCs w:val="22"/>
              </w:rPr>
              <w:t>Innen</w:t>
            </w:r>
            <w:r w:rsidRPr="00052E21">
              <w:rPr>
                <w:rFonts w:cs="Arial"/>
                <w:sz w:val="22"/>
                <w:szCs w:val="22"/>
              </w:rPr>
              <w:t xml:space="preserve"> werden angehalten, sich über die Eigenschaften der Gefahrstoffe, mit denen sie umgehen, zu informieren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Pr="00052E21">
              <w:rPr>
                <w:rFonts w:cs="Arial"/>
                <w:i/>
                <w:sz w:val="22"/>
                <w:szCs w:val="22"/>
              </w:rPr>
              <w:t>(Hinweis: für viele Stoffe können die SDB über die Internetseiten der Chemikalienlieferanten (z.B. Fa. Merck) abgerufen werden, ansonsten sind sie vom Chemikalienhändler zu beziehen)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10B" w:rsidRPr="00052E21" w:rsidRDefault="0016410B" w:rsidP="00E22B62">
            <w:pPr>
              <w:numPr>
                <w:ilvl w:val="1"/>
                <w:numId w:val="1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Es wird geprüft, ob weniger gefährliche Ersatzstoffe oder Ersatzverfahren einsetzbar sind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Pr="00052E21">
              <w:rPr>
                <w:rFonts w:cs="Arial"/>
                <w:i/>
                <w:sz w:val="22"/>
                <w:szCs w:val="22"/>
              </w:rPr>
              <w:t>(z.B. Lösungen statt Pulver, Ethanol statt Methanol, brennbare Flüssigkeiten mit höherem Flammpunkt)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10B" w:rsidRPr="00052E21" w:rsidRDefault="000840DF" w:rsidP="00E22B62">
            <w:pPr>
              <w:numPr>
                <w:ilvl w:val="1"/>
                <w:numId w:val="1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 xml:space="preserve">Bei </w:t>
            </w:r>
            <w:r w:rsidR="0016410B" w:rsidRPr="00052E21">
              <w:rPr>
                <w:rFonts w:cs="Arial"/>
                <w:sz w:val="22"/>
                <w:szCs w:val="22"/>
              </w:rPr>
              <w:t>Tätigkeiten mit Gefahrstoffen</w:t>
            </w:r>
            <w:r w:rsidRPr="00052E21">
              <w:rPr>
                <w:rFonts w:cs="Arial"/>
                <w:sz w:val="22"/>
                <w:szCs w:val="22"/>
              </w:rPr>
              <w:t xml:space="preserve"> ist eine Er</w:t>
            </w:r>
            <w:r w:rsidR="00BA1C98" w:rsidRPr="00052E21">
              <w:rPr>
                <w:rFonts w:cs="Arial"/>
                <w:sz w:val="22"/>
                <w:szCs w:val="22"/>
              </w:rPr>
              <w:t xml:space="preserve">ste-Hilfe Leistung im Gefahrfall </w:t>
            </w:r>
            <w:r w:rsidRPr="00052E21">
              <w:rPr>
                <w:rFonts w:cs="Arial"/>
                <w:sz w:val="22"/>
                <w:szCs w:val="22"/>
              </w:rPr>
              <w:t>gewährleistet.</w:t>
            </w:r>
            <w:r w:rsidR="0016410B" w:rsidRPr="00052E21">
              <w:rPr>
                <w:rFonts w:cs="Arial"/>
                <w:sz w:val="22"/>
                <w:szCs w:val="22"/>
              </w:rPr>
              <w:t xml:space="preserve"> </w:t>
            </w:r>
            <w:r w:rsidRPr="00052E21">
              <w:rPr>
                <w:rFonts w:cs="Arial"/>
                <w:sz w:val="22"/>
                <w:szCs w:val="22"/>
              </w:rPr>
              <w:t>(</w:t>
            </w:r>
            <w:r w:rsidR="0016410B" w:rsidRPr="00052E21">
              <w:rPr>
                <w:rFonts w:cs="Arial"/>
                <w:sz w:val="22"/>
                <w:szCs w:val="22"/>
              </w:rPr>
              <w:t xml:space="preserve">Es ist </w:t>
            </w:r>
            <w:r w:rsidRPr="00052E21">
              <w:rPr>
                <w:rFonts w:cs="Arial"/>
                <w:sz w:val="22"/>
                <w:szCs w:val="22"/>
              </w:rPr>
              <w:t xml:space="preserve">z.B. </w:t>
            </w:r>
            <w:r w:rsidR="0016410B" w:rsidRPr="00052E21">
              <w:rPr>
                <w:rFonts w:cs="Arial"/>
                <w:sz w:val="22"/>
                <w:szCs w:val="22"/>
              </w:rPr>
              <w:t>ständig eine zweite Person in Sicht- oder Rufweite oder eine angemessene Aufsicht ist durch Einsatz technischer Mittel gewährleistet (z.B. Personennotrufanlagen)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16410B" w:rsidRPr="00052E21" w:rsidRDefault="0037740B" w:rsidP="00E22B62">
            <w:pPr>
              <w:numPr>
                <w:ilvl w:val="1"/>
                <w:numId w:val="1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Für Gefahrstoffe liegen</w:t>
            </w:r>
            <w:r w:rsidR="0016410B" w:rsidRPr="00052E21">
              <w:rPr>
                <w:rFonts w:cs="Arial"/>
                <w:sz w:val="22"/>
                <w:szCs w:val="22"/>
              </w:rPr>
              <w:t xml:space="preserve"> </w:t>
            </w:r>
            <w:r w:rsidR="000840DF" w:rsidRPr="00052E21">
              <w:rPr>
                <w:rFonts w:cs="Arial"/>
                <w:sz w:val="22"/>
                <w:szCs w:val="22"/>
              </w:rPr>
              <w:t xml:space="preserve">stoff- und </w:t>
            </w:r>
            <w:r w:rsidR="0016410B" w:rsidRPr="00052E21">
              <w:rPr>
                <w:rFonts w:cs="Arial"/>
                <w:sz w:val="22"/>
                <w:szCs w:val="22"/>
              </w:rPr>
              <w:t>arbeitsplatzbezoge</w:t>
            </w:r>
            <w:r w:rsidRPr="00052E21">
              <w:rPr>
                <w:rFonts w:cs="Arial"/>
                <w:sz w:val="22"/>
                <w:szCs w:val="22"/>
              </w:rPr>
              <w:t>ne Betriebsanweisungen vor (Gruppenbetriebsanweisungen oder in besonderen Fällen, z.B. bei giftigen Gefahrstoffen, auch Einzelbetriebsanweisungen).</w:t>
            </w:r>
            <w:r w:rsidRPr="00052E21">
              <w:rPr>
                <w:rFonts w:cs="Arial"/>
                <w:sz w:val="22"/>
                <w:szCs w:val="22"/>
              </w:rPr>
              <w:br/>
              <w:t>An</w:t>
            </w:r>
            <w:r w:rsidR="000132C0" w:rsidRPr="00052E21">
              <w:rPr>
                <w:rFonts w:cs="Arial"/>
                <w:sz w:val="22"/>
                <w:szCs w:val="22"/>
              </w:rPr>
              <w:t>hand dieser B</w:t>
            </w:r>
            <w:r w:rsidRPr="00052E21">
              <w:rPr>
                <w:rFonts w:cs="Arial"/>
                <w:sz w:val="22"/>
                <w:szCs w:val="22"/>
              </w:rPr>
              <w:t>et</w:t>
            </w:r>
            <w:r w:rsidR="000132C0" w:rsidRPr="00052E21">
              <w:rPr>
                <w:rFonts w:cs="Arial"/>
                <w:sz w:val="22"/>
                <w:szCs w:val="22"/>
              </w:rPr>
              <w:t xml:space="preserve">riebsanweisungen werden </w:t>
            </w:r>
            <w:r w:rsidR="004E52A4">
              <w:rPr>
                <w:rFonts w:cs="Arial"/>
                <w:sz w:val="22"/>
                <w:szCs w:val="22"/>
              </w:rPr>
              <w:t xml:space="preserve">die </w:t>
            </w:r>
            <w:r w:rsidR="000132C0" w:rsidRPr="00052E21">
              <w:rPr>
                <w:rFonts w:cs="Arial"/>
                <w:sz w:val="22"/>
                <w:szCs w:val="22"/>
              </w:rPr>
              <w:t>Unterweis</w:t>
            </w:r>
            <w:r w:rsidRPr="00052E21">
              <w:rPr>
                <w:rFonts w:cs="Arial"/>
                <w:sz w:val="22"/>
                <w:szCs w:val="22"/>
              </w:rPr>
              <w:t>ungen durchgeführt.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16410B" w:rsidRPr="00052E21" w:rsidRDefault="0016410B" w:rsidP="00E22B62">
            <w:pPr>
              <w:numPr>
                <w:ilvl w:val="1"/>
                <w:numId w:val="1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Sämtliche Gefäße, die G</w:t>
            </w:r>
            <w:r w:rsidR="007B7908" w:rsidRPr="00052E21">
              <w:rPr>
                <w:rFonts w:cs="Arial"/>
                <w:sz w:val="22"/>
                <w:szCs w:val="22"/>
              </w:rPr>
              <w:t xml:space="preserve">efahrstoffe enthalten (auch </w:t>
            </w:r>
            <w:r w:rsidRPr="00052E21">
              <w:rPr>
                <w:rFonts w:cs="Arial"/>
                <w:sz w:val="22"/>
                <w:szCs w:val="22"/>
              </w:rPr>
              <w:t>Standflaschen, Kolben, sind mindestens mit ausgeschriebenem Stoffnamen und Gefahrensymbol gekennzeichnet.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Pr="00052E21">
              <w:rPr>
                <w:rFonts w:cs="Arial"/>
                <w:i/>
                <w:sz w:val="22"/>
                <w:szCs w:val="22"/>
              </w:rPr>
              <w:t>(größe</w:t>
            </w:r>
            <w:r w:rsidR="0080399D" w:rsidRPr="00052E21">
              <w:rPr>
                <w:rFonts w:cs="Arial"/>
                <w:i/>
                <w:sz w:val="22"/>
                <w:szCs w:val="22"/>
              </w:rPr>
              <w:t xml:space="preserve">re Bäder z.B. KOH/Propanol müssen </w:t>
            </w:r>
            <w:r w:rsidRPr="00052E21">
              <w:rPr>
                <w:rFonts w:cs="Arial"/>
                <w:i/>
                <w:sz w:val="22"/>
                <w:szCs w:val="22"/>
              </w:rPr>
              <w:t>zusätzlich mit den Gefahren</w:t>
            </w:r>
            <w:r w:rsidR="004E52A4">
              <w:rPr>
                <w:rFonts w:cs="Arial"/>
                <w:i/>
                <w:sz w:val="22"/>
                <w:szCs w:val="22"/>
              </w:rPr>
              <w:t xml:space="preserve">- und </w:t>
            </w:r>
            <w:r w:rsidRPr="00052E21">
              <w:rPr>
                <w:rFonts w:cs="Arial"/>
                <w:i/>
                <w:sz w:val="22"/>
                <w:szCs w:val="22"/>
              </w:rPr>
              <w:t>und Sicherhe</w:t>
            </w:r>
            <w:r w:rsidR="004E52A4">
              <w:rPr>
                <w:rFonts w:cs="Arial"/>
                <w:i/>
                <w:sz w:val="22"/>
                <w:szCs w:val="22"/>
              </w:rPr>
              <w:t>itshinweisen (H- und P</w:t>
            </w:r>
            <w:r w:rsidR="0080399D" w:rsidRPr="00052E21">
              <w:rPr>
                <w:rFonts w:cs="Arial"/>
                <w:i/>
                <w:sz w:val="22"/>
                <w:szCs w:val="22"/>
              </w:rPr>
              <w:t>-Sätze) gekennzeichnet werden</w:t>
            </w:r>
            <w:r w:rsidRPr="00052E21">
              <w:rPr>
                <w:rFonts w:cs="Arial"/>
                <w:i/>
                <w:sz w:val="22"/>
                <w:szCs w:val="22"/>
              </w:rPr>
              <w:t>)</w:t>
            </w:r>
          </w:p>
        </w:tc>
      </w:tr>
      <w:tr w:rsidR="006873A4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6873A4" w:rsidRDefault="006873A4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6873A4" w:rsidRPr="00B00CB8" w:rsidRDefault="006873A4" w:rsidP="00052E21">
            <w:pPr>
              <w:spacing w:before="120"/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6873A4" w:rsidRDefault="006873A4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6873A4" w:rsidRPr="00052E21" w:rsidRDefault="00586CF3" w:rsidP="00586CF3">
            <w:pPr>
              <w:numPr>
                <w:ilvl w:val="1"/>
                <w:numId w:val="1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Abfälle werden getrennt gesammelt und die Abfallbehälter</w:t>
            </w:r>
            <w:r w:rsidR="006873A4">
              <w:rPr>
                <w:rFonts w:cs="Arial"/>
                <w:sz w:val="22"/>
                <w:szCs w:val="22"/>
              </w:rPr>
              <w:t xml:space="preserve"> werden nach den Vorgaben des Sonderabfalls (</w:t>
            </w:r>
            <w:r w:rsidR="006873A4" w:rsidRPr="006873A4">
              <w:rPr>
                <w:rFonts w:cs="Arial"/>
                <w:sz w:val="22"/>
                <w:szCs w:val="22"/>
              </w:rPr>
              <w:sym w:font="Wingdings" w:char="F0E0"/>
            </w:r>
            <w:r w:rsidR="006873A4">
              <w:rPr>
                <w:rFonts w:cs="Arial"/>
                <w:sz w:val="22"/>
                <w:szCs w:val="22"/>
              </w:rPr>
              <w:t xml:space="preserve"> Abfallbroschüre) gekennzeichnet</w:t>
            </w:r>
            <w:r>
              <w:rPr>
                <w:rFonts w:cs="Arial"/>
                <w:sz w:val="22"/>
                <w:szCs w:val="22"/>
              </w:rPr>
              <w:br/>
              <w:t>(z.B. mit vorgefertigte Etiketten für Lösemittelkanister)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16410B" w:rsidRPr="00052E21" w:rsidRDefault="0016410B" w:rsidP="00E22B62">
            <w:pPr>
              <w:numPr>
                <w:ilvl w:val="1"/>
                <w:numId w:val="1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 xml:space="preserve">Auch Druckgasleitungen sind mit Stoffnamen und ggf. Gefahrensymbol und </w:t>
            </w:r>
            <w:r w:rsidR="004E52A4">
              <w:rPr>
                <w:rFonts w:cs="Arial"/>
                <w:sz w:val="22"/>
                <w:szCs w:val="22"/>
              </w:rPr>
              <w:t xml:space="preserve">Angabe der </w:t>
            </w:r>
            <w:r w:rsidRPr="00052E21">
              <w:rPr>
                <w:rFonts w:cs="Arial"/>
                <w:sz w:val="22"/>
                <w:szCs w:val="22"/>
              </w:rPr>
              <w:t xml:space="preserve">Durchflussrichtung </w:t>
            </w:r>
            <w:r w:rsidR="004E52A4">
              <w:rPr>
                <w:rFonts w:cs="Arial"/>
                <w:sz w:val="22"/>
                <w:szCs w:val="22"/>
              </w:rPr>
              <w:t xml:space="preserve">(Pfeilspitze) </w:t>
            </w:r>
            <w:r w:rsidRPr="00052E21">
              <w:rPr>
                <w:rFonts w:cs="Arial"/>
                <w:sz w:val="22"/>
                <w:szCs w:val="22"/>
              </w:rPr>
              <w:t>gekennzeichnet.</w:t>
            </w:r>
          </w:p>
        </w:tc>
      </w:tr>
      <w:tr w:rsidR="00F77145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E6E6E6"/>
          </w:tcPr>
          <w:p w:rsidR="00F77145" w:rsidRPr="00052E21" w:rsidRDefault="0058362B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lastRenderedPageBreak/>
              <w:t>n. z.</w:t>
            </w:r>
          </w:p>
        </w:tc>
        <w:tc>
          <w:tcPr>
            <w:tcW w:w="567" w:type="dxa"/>
            <w:shd w:val="clear" w:color="auto" w:fill="E6E6E6"/>
          </w:tcPr>
          <w:p w:rsidR="00F77145" w:rsidRPr="00052E21" w:rsidRDefault="0058362B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E6E6E6"/>
          </w:tcPr>
          <w:p w:rsidR="00F77145" w:rsidRPr="00052E21" w:rsidRDefault="0058362B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052E21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052E21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E6E6E6"/>
          </w:tcPr>
          <w:p w:rsidR="00F77145" w:rsidRPr="00F77145" w:rsidRDefault="00F77145" w:rsidP="00E22B62">
            <w:pPr>
              <w:numPr>
                <w:ilvl w:val="0"/>
                <w:numId w:val="11"/>
              </w:numPr>
              <w:spacing w:before="120"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  <w:r w:rsidRPr="00F77145">
              <w:rPr>
                <w:rFonts w:cs="Arial"/>
                <w:b/>
                <w:szCs w:val="24"/>
              </w:rPr>
              <w:t>llgemeine</w:t>
            </w:r>
            <w:r w:rsidR="00D428B6">
              <w:rPr>
                <w:rFonts w:cs="Arial"/>
                <w:b/>
                <w:szCs w:val="24"/>
              </w:rPr>
              <w:t xml:space="preserve"> </w:t>
            </w:r>
            <w:r w:rsidRPr="00F77145">
              <w:rPr>
                <w:rFonts w:cs="Arial"/>
                <w:b/>
                <w:szCs w:val="24"/>
              </w:rPr>
              <w:t>Hygiene- bz</w:t>
            </w:r>
            <w:r w:rsidR="0058362B">
              <w:rPr>
                <w:rFonts w:cs="Arial"/>
                <w:b/>
                <w:szCs w:val="24"/>
              </w:rPr>
              <w:t>w. Schutzmaßnahmen</w:t>
            </w:r>
          </w:p>
        </w:tc>
      </w:tr>
      <w:tr w:rsidR="006873A4" w:rsidRPr="00052E21" w:rsidTr="009A1C7A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6873A4" w:rsidRDefault="006873A4" w:rsidP="009A1C7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873A4" w:rsidRDefault="006873A4" w:rsidP="009A1C7A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6873A4" w:rsidRDefault="006873A4" w:rsidP="009A1C7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3A4" w:rsidRPr="00052E21" w:rsidRDefault="006873A4" w:rsidP="009A1C7A">
            <w:pPr>
              <w:numPr>
                <w:ilvl w:val="1"/>
                <w:numId w:val="1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 xml:space="preserve">Arbeitsbereiche, in denen mit krebserzeugenden, erbgutgefährdeten, fuchtschädigenden </w:t>
            </w:r>
            <w:r>
              <w:rPr>
                <w:rFonts w:cs="Arial"/>
                <w:sz w:val="22"/>
                <w:szCs w:val="22"/>
              </w:rPr>
              <w:t xml:space="preserve">Gefahrstoffen </w:t>
            </w:r>
            <w:r w:rsidRPr="00052E21">
              <w:rPr>
                <w:rFonts w:cs="Arial"/>
                <w:sz w:val="22"/>
                <w:szCs w:val="22"/>
              </w:rPr>
              <w:t>gearbeitet wird, sind von anderen Arbeitsbereichen abgegrenzt.</w:t>
            </w:r>
          </w:p>
        </w:tc>
      </w:tr>
      <w:tr w:rsidR="00F77145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F77145" w:rsidRDefault="00F77145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F77145" w:rsidRPr="00B00CB8" w:rsidRDefault="00F77145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F77145" w:rsidRDefault="00F77145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7145" w:rsidRPr="00D428B6" w:rsidRDefault="00D428B6" w:rsidP="00E22B62">
            <w:pPr>
              <w:numPr>
                <w:ilvl w:val="1"/>
                <w:numId w:val="1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 werden n</w:t>
            </w:r>
            <w:r w:rsidRPr="00D428B6">
              <w:rPr>
                <w:rFonts w:cs="Arial"/>
                <w:sz w:val="22"/>
                <w:szCs w:val="22"/>
              </w:rPr>
              <w:t xml:space="preserve">ur die </w:t>
            </w:r>
            <w:r w:rsidR="006873A4">
              <w:rPr>
                <w:rFonts w:cs="Arial"/>
                <w:sz w:val="22"/>
                <w:szCs w:val="22"/>
              </w:rPr>
              <w:t xml:space="preserve">für die Experimente </w:t>
            </w:r>
            <w:r w:rsidRPr="00D428B6">
              <w:rPr>
                <w:rFonts w:cs="Arial"/>
                <w:sz w:val="22"/>
                <w:szCs w:val="22"/>
              </w:rPr>
              <w:t>benötigten Gefahrst</w:t>
            </w:r>
            <w:r>
              <w:rPr>
                <w:rFonts w:cs="Arial"/>
                <w:sz w:val="22"/>
                <w:szCs w:val="22"/>
              </w:rPr>
              <w:t>offe am Arbeitsplatz aufbewahrt</w:t>
            </w:r>
            <w:r w:rsidRPr="00D428B6">
              <w:rPr>
                <w:rFonts w:cs="Arial"/>
                <w:sz w:val="22"/>
                <w:szCs w:val="22"/>
              </w:rPr>
              <w:t>.</w:t>
            </w:r>
          </w:p>
        </w:tc>
      </w:tr>
      <w:tr w:rsidR="00D428B6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D428B6" w:rsidRDefault="008357C3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D428B6" w:rsidRDefault="008357C3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D428B6" w:rsidRDefault="008357C3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28B6" w:rsidRPr="00360CB1" w:rsidRDefault="006873A4" w:rsidP="00E22B62">
            <w:pPr>
              <w:numPr>
                <w:ilvl w:val="1"/>
                <w:numId w:val="1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 wird darauf geachtet, dass nach B</w:t>
            </w:r>
            <w:r w:rsidR="00360CB1" w:rsidRPr="00360CB1">
              <w:rPr>
                <w:rFonts w:cs="Arial"/>
                <w:sz w:val="22"/>
                <w:szCs w:val="22"/>
              </w:rPr>
              <w:t>eendigung der</w:t>
            </w:r>
            <w:r>
              <w:rPr>
                <w:rFonts w:cs="Arial"/>
                <w:sz w:val="22"/>
                <w:szCs w:val="22"/>
              </w:rPr>
              <w:t xml:space="preserve"> Gefahrstofftätigkeiten die Arbeitsplä</w:t>
            </w:r>
            <w:r w:rsidR="00360CB1" w:rsidRPr="00360CB1">
              <w:rPr>
                <w:rFonts w:cs="Arial"/>
                <w:sz w:val="22"/>
                <w:szCs w:val="22"/>
              </w:rPr>
              <w:t>tz</w:t>
            </w:r>
            <w:r>
              <w:rPr>
                <w:rFonts w:cs="Arial"/>
                <w:sz w:val="22"/>
                <w:szCs w:val="22"/>
              </w:rPr>
              <w:t xml:space="preserve">e und Arbeitsgeräte gereinigt werden, bzw. dass die </w:t>
            </w:r>
            <w:r w:rsidRPr="00052E21">
              <w:rPr>
                <w:rFonts w:cs="Arial"/>
                <w:sz w:val="22"/>
                <w:szCs w:val="22"/>
              </w:rPr>
              <w:t>Arbeitsplätze nicht mit Gefahrstoffen kontaminiert sind.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360CB1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360CB1" w:rsidRDefault="008357C3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360CB1" w:rsidRDefault="008357C3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360CB1" w:rsidRDefault="008357C3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CB1" w:rsidRPr="00360CB1" w:rsidRDefault="00360CB1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360CB1">
              <w:rPr>
                <w:rFonts w:cs="Arial"/>
                <w:sz w:val="22"/>
                <w:szCs w:val="22"/>
              </w:rPr>
              <w:t>Verunreinigungen du</w:t>
            </w:r>
            <w:r w:rsidR="006873A4">
              <w:rPr>
                <w:rFonts w:cs="Arial"/>
                <w:sz w:val="22"/>
                <w:szCs w:val="22"/>
              </w:rPr>
              <w:t xml:space="preserve">rch Gefahrstoffe </w:t>
            </w:r>
            <w:r w:rsidRPr="00360CB1">
              <w:rPr>
                <w:rFonts w:cs="Arial"/>
                <w:sz w:val="22"/>
                <w:szCs w:val="22"/>
              </w:rPr>
              <w:t xml:space="preserve">an Behältern </w:t>
            </w:r>
            <w:r w:rsidR="006873A4">
              <w:rPr>
                <w:rFonts w:cs="Arial"/>
                <w:sz w:val="22"/>
                <w:szCs w:val="22"/>
              </w:rPr>
              <w:t>werden sofort entfernt</w:t>
            </w:r>
          </w:p>
        </w:tc>
      </w:tr>
      <w:tr w:rsidR="00360CB1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360CB1" w:rsidRDefault="00360CB1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360CB1" w:rsidRDefault="00360CB1" w:rsidP="00974F48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360CB1" w:rsidRDefault="00360CB1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360CB1" w:rsidRPr="00052E21" w:rsidRDefault="00360CB1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Verschüttete Gefahrstoffe bzw. Kontaminationen (z.B. an Wägeplätzen) werden unverzüglich beseitigt</w:t>
            </w:r>
          </w:p>
        </w:tc>
      </w:tr>
      <w:tr w:rsidR="00360CB1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360CB1" w:rsidRDefault="00360CB1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360CB1" w:rsidRDefault="00360CB1" w:rsidP="00974F48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360CB1" w:rsidRDefault="00360CB1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360CB1" w:rsidRPr="00052E21" w:rsidRDefault="00360CB1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 xml:space="preserve">Zur Reinigung </w:t>
            </w:r>
            <w:r w:rsidR="006873A4">
              <w:rPr>
                <w:rFonts w:cs="Arial"/>
                <w:sz w:val="22"/>
                <w:szCs w:val="22"/>
              </w:rPr>
              <w:t xml:space="preserve">von Glasgeräte </w:t>
            </w:r>
            <w:r w:rsidRPr="00052E21">
              <w:rPr>
                <w:rFonts w:cs="Arial"/>
                <w:sz w:val="22"/>
                <w:szCs w:val="22"/>
              </w:rPr>
              <w:t>werden Reinigungsmittel mit geringen Gesundheitsgefahren benutzt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Pr="00052E21">
              <w:rPr>
                <w:rFonts w:cs="Arial"/>
                <w:i/>
                <w:sz w:val="22"/>
                <w:szCs w:val="22"/>
              </w:rPr>
              <w:t>(keine Verwendung von Chromschwefelsäure)</w:t>
            </w:r>
          </w:p>
        </w:tc>
      </w:tr>
      <w:tr w:rsidR="00360CB1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360CB1" w:rsidRDefault="00360CB1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360CB1" w:rsidRDefault="00360CB1" w:rsidP="00974F48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360CB1" w:rsidRDefault="00360CB1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360CB1" w:rsidRPr="00052E21" w:rsidRDefault="00F93F12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Für unvorhergesehenes Austreten von Gefahrstoffen </w:t>
            </w:r>
            <w:r w:rsidR="00360CB1" w:rsidRPr="00052E21">
              <w:rPr>
                <w:rFonts w:cs="Arial"/>
                <w:sz w:val="22"/>
                <w:szCs w:val="22"/>
              </w:rPr>
              <w:t>werden geeignete Chemikalienbindemittel bereitgehalten bzw. die Standorte der Bindemittel sind allen Mitarbeitern bekannt</w:t>
            </w:r>
            <w:r w:rsidR="00360CB1" w:rsidRPr="00052E21">
              <w:rPr>
                <w:rFonts w:cs="Arial"/>
                <w:sz w:val="22"/>
                <w:szCs w:val="22"/>
              </w:rPr>
              <w:br/>
            </w:r>
            <w:r w:rsidR="00360CB1" w:rsidRPr="00052E21">
              <w:rPr>
                <w:rFonts w:cs="Arial"/>
                <w:i/>
                <w:sz w:val="22"/>
                <w:szCs w:val="22"/>
              </w:rPr>
              <w:t xml:space="preserve">(i.d.R </w:t>
            </w:r>
            <w:r>
              <w:rPr>
                <w:rFonts w:cs="Arial"/>
                <w:i/>
                <w:sz w:val="22"/>
                <w:szCs w:val="22"/>
              </w:rPr>
              <w:t xml:space="preserve">werden diese </w:t>
            </w:r>
            <w:r w:rsidR="00360CB1" w:rsidRPr="00052E21">
              <w:rPr>
                <w:rFonts w:cs="Arial"/>
                <w:i/>
                <w:sz w:val="22"/>
                <w:szCs w:val="22"/>
              </w:rPr>
              <w:t>in den Aufzugsbereichen</w:t>
            </w:r>
            <w:r>
              <w:rPr>
                <w:rFonts w:cs="Arial"/>
                <w:i/>
                <w:sz w:val="22"/>
                <w:szCs w:val="22"/>
              </w:rPr>
              <w:t xml:space="preserve"> bereitgehalten</w:t>
            </w:r>
            <w:r w:rsidR="00360CB1" w:rsidRPr="00052E21">
              <w:rPr>
                <w:rFonts w:cs="Arial"/>
                <w:i/>
                <w:sz w:val="22"/>
                <w:szCs w:val="22"/>
              </w:rPr>
              <w:t>;</w:t>
            </w:r>
            <w:r>
              <w:rPr>
                <w:rFonts w:cs="Arial"/>
                <w:i/>
                <w:sz w:val="22"/>
                <w:szCs w:val="22"/>
              </w:rPr>
              <w:t>für Tätigkeiten</w:t>
            </w:r>
            <w:r w:rsidR="00360CB1" w:rsidRPr="00052E21">
              <w:rPr>
                <w:rFonts w:cs="Arial"/>
                <w:i/>
                <w:sz w:val="22"/>
                <w:szCs w:val="22"/>
              </w:rPr>
              <w:t xml:space="preserve"> mit </w:t>
            </w:r>
            <w:r>
              <w:rPr>
                <w:rFonts w:cs="Arial"/>
                <w:i/>
                <w:sz w:val="22"/>
                <w:szCs w:val="22"/>
              </w:rPr>
              <w:t>Alkalimetallen (Na, K  etc) steht auch Löschsand bereit</w:t>
            </w:r>
            <w:r w:rsidR="00360CB1" w:rsidRPr="00052E21">
              <w:rPr>
                <w:rFonts w:cs="Arial"/>
                <w:i/>
                <w:sz w:val="22"/>
                <w:szCs w:val="22"/>
              </w:rPr>
              <w:t>)</w:t>
            </w:r>
          </w:p>
        </w:tc>
      </w:tr>
      <w:tr w:rsidR="0058362B" w:rsidRPr="00052E21" w:rsidTr="00804FB1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D9D9D9"/>
          </w:tcPr>
          <w:p w:rsidR="0058362B" w:rsidRPr="00052E21" w:rsidRDefault="009A63E4" w:rsidP="00804FB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>
              <w:br w:type="page"/>
            </w:r>
            <w:r w:rsidR="004B3F9D">
              <w:br w:type="page"/>
            </w:r>
            <w:r w:rsidR="0058362B" w:rsidRPr="00052E21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67" w:type="dxa"/>
            <w:shd w:val="clear" w:color="auto" w:fill="D9D9D9"/>
          </w:tcPr>
          <w:p w:rsidR="0058362B" w:rsidRPr="00052E21" w:rsidRDefault="0058362B" w:rsidP="00804FB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D9D9D9"/>
          </w:tcPr>
          <w:p w:rsidR="0058362B" w:rsidRPr="00052E21" w:rsidRDefault="0058362B" w:rsidP="00804FB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052E21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052E21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D9D9D9"/>
          </w:tcPr>
          <w:p w:rsidR="0058362B" w:rsidRPr="00F77145" w:rsidRDefault="0058362B" w:rsidP="006873A4">
            <w:pPr>
              <w:numPr>
                <w:ilvl w:val="0"/>
                <w:numId w:val="12"/>
              </w:numPr>
              <w:spacing w:before="120"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Hautkontakt mit Gefahrstoffen</w:t>
            </w:r>
          </w:p>
        </w:tc>
      </w:tr>
      <w:tr w:rsidR="00823307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823307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823307" w:rsidRDefault="00272E73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 wird ermittelt, ob mit hautgefährdenden, hautreso</w:t>
            </w:r>
            <w:r w:rsidR="00F93F12">
              <w:rPr>
                <w:rFonts w:cs="Arial"/>
                <w:sz w:val="22"/>
                <w:szCs w:val="22"/>
              </w:rPr>
              <w:t>r</w:t>
            </w:r>
            <w:r>
              <w:rPr>
                <w:rFonts w:cs="Arial"/>
                <w:sz w:val="22"/>
                <w:szCs w:val="22"/>
              </w:rPr>
              <w:t xml:space="preserve">ptiven </w:t>
            </w:r>
            <w:r w:rsidR="00F96C8D">
              <w:rPr>
                <w:rFonts w:cs="Arial"/>
                <w:sz w:val="22"/>
                <w:szCs w:val="22"/>
              </w:rPr>
              <w:t>oder hautsensen</w:t>
            </w:r>
            <w:r>
              <w:rPr>
                <w:rFonts w:cs="Arial"/>
                <w:sz w:val="22"/>
                <w:szCs w:val="22"/>
              </w:rPr>
              <w:t>bilisierenden Gefahrstoffstoffen gearbeitet wird</w:t>
            </w:r>
            <w:r>
              <w:rPr>
                <w:rFonts w:cs="Arial"/>
                <w:sz w:val="22"/>
                <w:szCs w:val="22"/>
              </w:rPr>
              <w:br/>
            </w:r>
            <w:r w:rsidRPr="00F93F12">
              <w:rPr>
                <w:rFonts w:cs="Arial"/>
                <w:i/>
                <w:sz w:val="22"/>
                <w:szCs w:val="22"/>
              </w:rPr>
              <w:t>(Ermittlung über die Gefahrenhinweise H-Sätze)</w:t>
            </w:r>
            <w:r w:rsidRPr="00272E73">
              <w:rPr>
                <w:rFonts w:cs="Arial"/>
                <w:sz w:val="20"/>
              </w:rPr>
              <w:t xml:space="preserve"> </w:t>
            </w:r>
          </w:p>
        </w:tc>
      </w:tr>
      <w:tr w:rsidR="00823307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823307" w:rsidRDefault="00823307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823307" w:rsidRDefault="00823307" w:rsidP="00974F48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823307" w:rsidRDefault="00823307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823307" w:rsidRPr="00052E21" w:rsidRDefault="00823307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Das Arbeitsverfahren wird so gewählt, dass ein Hautkontakt ausgeschlossen werden kann</w:t>
            </w:r>
            <w:r w:rsidR="00F93F12">
              <w:rPr>
                <w:rFonts w:cs="Arial"/>
                <w:sz w:val="22"/>
                <w:szCs w:val="22"/>
              </w:rPr>
              <w:t xml:space="preserve"> (z.B. durch die Verwendung von technischen Hilfsmittel wie Pipettierhilfen)</w:t>
            </w:r>
          </w:p>
        </w:tc>
      </w:tr>
      <w:tr w:rsidR="00823307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823307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823307" w:rsidRDefault="00F93F12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Kann ein Hautkontakt nicht ausgeschlossene werden,</w:t>
            </w:r>
            <w:r w:rsidR="00823307">
              <w:rPr>
                <w:rFonts w:cs="Arial"/>
                <w:sz w:val="22"/>
                <w:szCs w:val="22"/>
              </w:rPr>
              <w:t xml:space="preserve"> werden geeignete Schutzhandschuhe verwendet</w:t>
            </w:r>
            <w:r w:rsidR="00823307">
              <w:rPr>
                <w:rFonts w:cs="Arial"/>
                <w:sz w:val="22"/>
                <w:szCs w:val="22"/>
              </w:rPr>
              <w:br/>
            </w:r>
            <w:r w:rsidR="00823307" w:rsidRPr="00F93F12">
              <w:rPr>
                <w:rFonts w:cs="Arial"/>
                <w:i/>
                <w:sz w:val="22"/>
                <w:szCs w:val="22"/>
              </w:rPr>
              <w:t>(Hierzu die Eignung mittels Herstellerangaben beachten</w:t>
            </w:r>
            <w:r w:rsidR="00F96C8D" w:rsidRPr="00F93F12">
              <w:rPr>
                <w:rFonts w:cs="Arial"/>
                <w:i/>
                <w:sz w:val="22"/>
                <w:szCs w:val="22"/>
              </w:rPr>
              <w:t>; Chemikalienschutzhandschuhe sind am Erlenmeyersymbol erkennbar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</w:p>
        </w:tc>
      </w:tr>
      <w:tr w:rsidR="00350E32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350E32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350E32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350E32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350E32" w:rsidRDefault="00350E32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Vor Beginn der Arbeiten werden die </w:t>
            </w:r>
            <w:r w:rsidR="00CE3A5C">
              <w:rPr>
                <w:rFonts w:cs="Arial"/>
                <w:sz w:val="22"/>
                <w:szCs w:val="22"/>
              </w:rPr>
              <w:t>Schutzh</w:t>
            </w:r>
            <w:r>
              <w:rPr>
                <w:rFonts w:cs="Arial"/>
                <w:sz w:val="22"/>
                <w:szCs w:val="22"/>
              </w:rPr>
              <w:t>andschuhe auf sichtbare Schäden untersucht (z.B. schadhafte Stellen oder innenseitige Verschmutzung</w:t>
            </w:r>
            <w:r w:rsidR="00CE3A5C">
              <w:rPr>
                <w:rFonts w:cs="Arial"/>
                <w:sz w:val="22"/>
                <w:szCs w:val="22"/>
              </w:rPr>
              <w:t>)</w:t>
            </w:r>
          </w:p>
        </w:tc>
      </w:tr>
      <w:tr w:rsidR="00350E32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350E32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350E32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350E32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350E32" w:rsidRDefault="00350E32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Wiederverwendbare Schutzhandschuhe werden vor Verschmutzungen geschützt und gut gelüftet aufbewahrt</w:t>
            </w:r>
            <w:r w:rsidR="00CE3A5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23307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823307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823307" w:rsidRDefault="00823307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 werden Hautmittel benutzt (Hautschutzmittel, Reinigungsmittel, Pflegemittel)</w:t>
            </w:r>
          </w:p>
        </w:tc>
      </w:tr>
      <w:tr w:rsidR="00823307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823307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823307" w:rsidRDefault="00823307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Verwendung von Hautpräparaten ist in einem Hautschutzplan festgelegt</w:t>
            </w:r>
            <w:r>
              <w:rPr>
                <w:rFonts w:cs="Arial"/>
                <w:sz w:val="22"/>
                <w:szCs w:val="22"/>
              </w:rPr>
              <w:br/>
            </w:r>
            <w:r w:rsidRPr="00CE3A5C">
              <w:rPr>
                <w:rFonts w:cs="Arial"/>
                <w:sz w:val="22"/>
                <w:szCs w:val="22"/>
              </w:rPr>
              <w:t>(Dieser ist gut sichtbar im Arbeitsbereich aufgehängt. In der Unterweisung wird darauf hingewiesen)</w:t>
            </w:r>
          </w:p>
        </w:tc>
      </w:tr>
      <w:tr w:rsidR="00823307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823307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823307" w:rsidRPr="00823307" w:rsidRDefault="00823307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2"/>
                <w:szCs w:val="22"/>
              </w:rPr>
              <w:t>Es sind ggf. für betroffene MitarbeiterInn</w:t>
            </w:r>
            <w:r w:rsidR="0058362B">
              <w:rPr>
                <w:rFonts w:cs="Arial"/>
                <w:sz w:val="22"/>
                <w:szCs w:val="22"/>
              </w:rPr>
              <w:t>en arbeitsmedizinische V</w:t>
            </w:r>
            <w:r>
              <w:rPr>
                <w:rFonts w:cs="Arial"/>
                <w:sz w:val="22"/>
                <w:szCs w:val="22"/>
              </w:rPr>
              <w:t>orsorgen festzulegen</w:t>
            </w:r>
          </w:p>
          <w:p w:rsidR="00823307" w:rsidRPr="00CE3A5C" w:rsidRDefault="00823307" w:rsidP="00823307">
            <w:pPr>
              <w:spacing w:before="120" w:after="120"/>
              <w:ind w:left="705"/>
              <w:rPr>
                <w:rFonts w:cs="Arial"/>
                <w:sz w:val="22"/>
                <w:szCs w:val="22"/>
              </w:rPr>
            </w:pPr>
            <w:r w:rsidRPr="00CE3A5C">
              <w:rPr>
                <w:rFonts w:cs="Arial"/>
                <w:sz w:val="22"/>
                <w:szCs w:val="22"/>
              </w:rPr>
              <w:t xml:space="preserve">z.B. </w:t>
            </w:r>
            <w:r w:rsidR="00272E73" w:rsidRPr="00CE3A5C">
              <w:rPr>
                <w:rFonts w:cs="Arial"/>
                <w:sz w:val="22"/>
                <w:szCs w:val="22"/>
              </w:rPr>
              <w:t>auch Pflichtvorsorge bei wiederholtem</w:t>
            </w:r>
            <w:r w:rsidRPr="00CE3A5C">
              <w:rPr>
                <w:rFonts w:cs="Arial"/>
                <w:sz w:val="22"/>
                <w:szCs w:val="22"/>
              </w:rPr>
              <w:t xml:space="preserve"> Hautkontakt mit hautresorptiven Stoffen des Anhangs V Nr. 1 der GefStoffV</w:t>
            </w:r>
          </w:p>
          <w:p w:rsidR="00823307" w:rsidRPr="00CE3A5C" w:rsidRDefault="00823307" w:rsidP="00823307">
            <w:pPr>
              <w:numPr>
                <w:ilvl w:val="0"/>
                <w:numId w:val="10"/>
              </w:numPr>
              <w:spacing w:after="0"/>
              <w:ind w:left="1144"/>
              <w:rPr>
                <w:rFonts w:cs="Arial"/>
                <w:sz w:val="22"/>
                <w:szCs w:val="22"/>
              </w:rPr>
            </w:pPr>
            <w:r w:rsidRPr="00CE3A5C">
              <w:rPr>
                <w:rFonts w:cs="Arial"/>
                <w:sz w:val="22"/>
                <w:szCs w:val="22"/>
              </w:rPr>
              <w:t>Aromatische Nitro- und Aminoverbindungen</w:t>
            </w:r>
          </w:p>
          <w:p w:rsidR="00823307" w:rsidRPr="00CE3A5C" w:rsidRDefault="00823307" w:rsidP="00823307">
            <w:pPr>
              <w:numPr>
                <w:ilvl w:val="0"/>
                <w:numId w:val="10"/>
              </w:numPr>
              <w:spacing w:after="0"/>
              <w:ind w:left="1144"/>
              <w:rPr>
                <w:rFonts w:cs="Arial"/>
                <w:sz w:val="22"/>
                <w:szCs w:val="22"/>
              </w:rPr>
            </w:pPr>
            <w:r w:rsidRPr="00CE3A5C">
              <w:rPr>
                <w:rFonts w:cs="Arial"/>
                <w:sz w:val="22"/>
                <w:szCs w:val="22"/>
              </w:rPr>
              <w:t>Benzol</w:t>
            </w:r>
          </w:p>
          <w:p w:rsidR="00823307" w:rsidRPr="00CE3A5C" w:rsidRDefault="00823307" w:rsidP="00823307">
            <w:pPr>
              <w:numPr>
                <w:ilvl w:val="0"/>
                <w:numId w:val="10"/>
              </w:numPr>
              <w:spacing w:after="0"/>
              <w:ind w:left="1144"/>
              <w:rPr>
                <w:rFonts w:cs="Arial"/>
                <w:sz w:val="22"/>
                <w:szCs w:val="22"/>
              </w:rPr>
            </w:pPr>
            <w:r w:rsidRPr="00CE3A5C">
              <w:rPr>
                <w:rFonts w:cs="Arial"/>
                <w:sz w:val="22"/>
                <w:szCs w:val="22"/>
              </w:rPr>
              <w:t>Bleitetraethyl und Bleitetramethyl</w:t>
            </w:r>
          </w:p>
          <w:p w:rsidR="00823307" w:rsidRPr="00CE3A5C" w:rsidRDefault="00823307" w:rsidP="00823307">
            <w:pPr>
              <w:numPr>
                <w:ilvl w:val="0"/>
                <w:numId w:val="10"/>
              </w:numPr>
              <w:spacing w:after="0"/>
              <w:ind w:left="1144"/>
              <w:rPr>
                <w:rFonts w:cs="Arial"/>
                <w:sz w:val="22"/>
                <w:szCs w:val="22"/>
              </w:rPr>
            </w:pPr>
            <w:r w:rsidRPr="00CE3A5C">
              <w:rPr>
                <w:rFonts w:cs="Arial"/>
                <w:sz w:val="22"/>
                <w:szCs w:val="22"/>
              </w:rPr>
              <w:t>Dimethylformamid</w:t>
            </w:r>
          </w:p>
          <w:p w:rsidR="00823307" w:rsidRPr="00CE3A5C" w:rsidRDefault="00823307" w:rsidP="00823307">
            <w:pPr>
              <w:numPr>
                <w:ilvl w:val="0"/>
                <w:numId w:val="10"/>
              </w:numPr>
              <w:spacing w:after="0"/>
              <w:ind w:left="1144"/>
              <w:rPr>
                <w:rFonts w:cs="Arial"/>
                <w:sz w:val="22"/>
                <w:szCs w:val="22"/>
              </w:rPr>
            </w:pPr>
            <w:r w:rsidRPr="00CE3A5C">
              <w:rPr>
                <w:rFonts w:cs="Arial"/>
                <w:sz w:val="22"/>
                <w:szCs w:val="22"/>
              </w:rPr>
              <w:t>Glycerintrinitrat</w:t>
            </w:r>
          </w:p>
          <w:p w:rsidR="00823307" w:rsidRPr="00CE3A5C" w:rsidRDefault="00823307" w:rsidP="00823307">
            <w:pPr>
              <w:numPr>
                <w:ilvl w:val="0"/>
                <w:numId w:val="10"/>
              </w:numPr>
              <w:spacing w:after="0"/>
              <w:ind w:left="1144"/>
              <w:rPr>
                <w:rFonts w:cs="Arial"/>
                <w:sz w:val="22"/>
                <w:szCs w:val="22"/>
              </w:rPr>
            </w:pPr>
            <w:r w:rsidRPr="00CE3A5C">
              <w:rPr>
                <w:rFonts w:cs="Arial"/>
                <w:sz w:val="22"/>
                <w:szCs w:val="22"/>
              </w:rPr>
              <w:t>Kohlenstoffdisulfid</w:t>
            </w:r>
          </w:p>
          <w:p w:rsidR="00823307" w:rsidRPr="00CE3A5C" w:rsidRDefault="00823307" w:rsidP="00823307">
            <w:pPr>
              <w:numPr>
                <w:ilvl w:val="0"/>
                <w:numId w:val="10"/>
              </w:numPr>
              <w:spacing w:after="0"/>
              <w:ind w:left="1144"/>
              <w:rPr>
                <w:rFonts w:cs="Arial"/>
                <w:sz w:val="22"/>
                <w:szCs w:val="22"/>
              </w:rPr>
            </w:pPr>
            <w:r w:rsidRPr="00CE3A5C">
              <w:rPr>
                <w:rFonts w:cs="Arial"/>
                <w:sz w:val="22"/>
                <w:szCs w:val="22"/>
              </w:rPr>
              <w:t>Methanol</w:t>
            </w:r>
          </w:p>
          <w:p w:rsidR="00823307" w:rsidRPr="00CE3A5C" w:rsidRDefault="00823307" w:rsidP="00823307">
            <w:pPr>
              <w:numPr>
                <w:ilvl w:val="0"/>
                <w:numId w:val="10"/>
              </w:numPr>
              <w:spacing w:after="0"/>
              <w:ind w:left="1144"/>
              <w:rPr>
                <w:rFonts w:cs="Arial"/>
                <w:sz w:val="22"/>
                <w:szCs w:val="22"/>
              </w:rPr>
            </w:pPr>
            <w:r w:rsidRPr="00CE3A5C">
              <w:rPr>
                <w:rFonts w:cs="Arial"/>
                <w:sz w:val="22"/>
                <w:szCs w:val="22"/>
              </w:rPr>
              <w:t>Polycyclische aromatische Kohlenwasserstoffe</w:t>
            </w:r>
          </w:p>
          <w:p w:rsidR="00823307" w:rsidRPr="00CE3A5C" w:rsidRDefault="00823307" w:rsidP="00823307">
            <w:pPr>
              <w:numPr>
                <w:ilvl w:val="0"/>
                <w:numId w:val="10"/>
              </w:numPr>
              <w:spacing w:after="0"/>
              <w:ind w:left="1144"/>
              <w:rPr>
                <w:rFonts w:cs="Arial"/>
                <w:sz w:val="22"/>
                <w:szCs w:val="22"/>
              </w:rPr>
            </w:pPr>
            <w:r w:rsidRPr="00CE3A5C">
              <w:rPr>
                <w:rFonts w:cs="Arial"/>
                <w:sz w:val="22"/>
                <w:szCs w:val="22"/>
              </w:rPr>
              <w:t>Tetrachlorethen</w:t>
            </w:r>
          </w:p>
          <w:p w:rsidR="00823307" w:rsidRPr="00CE3A5C" w:rsidRDefault="00823307" w:rsidP="00823307">
            <w:pPr>
              <w:numPr>
                <w:ilvl w:val="0"/>
                <w:numId w:val="10"/>
              </w:numPr>
              <w:spacing w:after="0"/>
              <w:ind w:left="1144"/>
              <w:rPr>
                <w:rFonts w:cs="Arial"/>
                <w:sz w:val="22"/>
                <w:szCs w:val="22"/>
              </w:rPr>
            </w:pPr>
            <w:r w:rsidRPr="00CE3A5C">
              <w:rPr>
                <w:rFonts w:cs="Arial"/>
                <w:sz w:val="22"/>
                <w:szCs w:val="22"/>
              </w:rPr>
              <w:t>Toluol</w:t>
            </w:r>
          </w:p>
          <w:p w:rsidR="00823307" w:rsidRPr="00823307" w:rsidRDefault="00823307" w:rsidP="00823307">
            <w:pPr>
              <w:numPr>
                <w:ilvl w:val="0"/>
                <w:numId w:val="10"/>
              </w:numPr>
              <w:spacing w:after="0"/>
              <w:ind w:left="1144"/>
              <w:rPr>
                <w:rFonts w:cs="Arial"/>
                <w:sz w:val="20"/>
              </w:rPr>
            </w:pPr>
            <w:r w:rsidRPr="00CE3A5C">
              <w:rPr>
                <w:rFonts w:cs="Arial"/>
                <w:sz w:val="22"/>
                <w:szCs w:val="22"/>
              </w:rPr>
              <w:t>Xylol</w:t>
            </w:r>
            <w:r w:rsidRPr="00CE3A5C">
              <w:rPr>
                <w:rFonts w:cs="Arial"/>
                <w:sz w:val="22"/>
                <w:szCs w:val="22"/>
              </w:rPr>
              <w:br/>
            </w:r>
          </w:p>
        </w:tc>
      </w:tr>
      <w:tr w:rsidR="00823307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823307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823307" w:rsidRDefault="00350E32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einem Verdacht auf eine Hauterkrankung in Verbindung mit verw</w:t>
            </w:r>
            <w:r w:rsidR="0058362B">
              <w:rPr>
                <w:rFonts w:cs="Arial"/>
                <w:sz w:val="22"/>
                <w:szCs w:val="22"/>
              </w:rPr>
              <w:t>endeten</w:t>
            </w:r>
            <w:r w:rsidR="00CE3A5C">
              <w:rPr>
                <w:rFonts w:cs="Arial"/>
                <w:sz w:val="22"/>
                <w:szCs w:val="22"/>
              </w:rPr>
              <w:t xml:space="preserve"> Gefahrstoffen wird der </w:t>
            </w:r>
            <w:r w:rsidR="0058362B">
              <w:rPr>
                <w:rFonts w:cs="Arial"/>
                <w:sz w:val="22"/>
                <w:szCs w:val="22"/>
              </w:rPr>
              <w:t>B</w:t>
            </w:r>
            <w:r>
              <w:rPr>
                <w:rFonts w:cs="Arial"/>
                <w:sz w:val="22"/>
                <w:szCs w:val="22"/>
              </w:rPr>
              <w:t xml:space="preserve">etriebsarzt </w:t>
            </w:r>
            <w:r w:rsidR="00CE3A5C">
              <w:rPr>
                <w:rFonts w:cs="Arial"/>
                <w:sz w:val="22"/>
                <w:szCs w:val="22"/>
              </w:rPr>
              <w:t>konsultiert</w:t>
            </w:r>
          </w:p>
        </w:tc>
      </w:tr>
      <w:tr w:rsidR="00823307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E6E6E6"/>
          </w:tcPr>
          <w:p w:rsidR="00823307" w:rsidRPr="00052E21" w:rsidRDefault="0058362B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67" w:type="dxa"/>
            <w:shd w:val="clear" w:color="auto" w:fill="E6E6E6"/>
          </w:tcPr>
          <w:p w:rsidR="00823307" w:rsidRPr="00052E21" w:rsidRDefault="0058362B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E6E6E6"/>
          </w:tcPr>
          <w:p w:rsidR="00823307" w:rsidRPr="00052E21" w:rsidRDefault="0058362B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052E21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052E21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E6E6E6"/>
          </w:tcPr>
          <w:p w:rsidR="00823307" w:rsidRPr="00052E21" w:rsidRDefault="00823307" w:rsidP="006873A4">
            <w:pPr>
              <w:numPr>
                <w:ilvl w:val="0"/>
                <w:numId w:val="12"/>
              </w:numPr>
              <w:spacing w:before="120"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Einatmen von Gefahrstoffen</w:t>
            </w:r>
          </w:p>
        </w:tc>
      </w:tr>
      <w:tr w:rsidR="00823307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823307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823307" w:rsidRDefault="00823307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 xml:space="preserve">Tätigkeiten, bei denen gesundheitsgefährliche, brennbare oder explosionsfähige Gase, Dämpfe, Stäube oder Aerosole frei werden können, werden grundsätzlich in einem funktionsfähigen </w:t>
            </w:r>
            <w:r w:rsidR="00561CE2">
              <w:rPr>
                <w:rFonts w:cs="Arial"/>
                <w:sz w:val="22"/>
                <w:szCs w:val="22"/>
              </w:rPr>
              <w:t xml:space="preserve">und geprüften </w:t>
            </w:r>
            <w:r w:rsidRPr="00052E21">
              <w:rPr>
                <w:rFonts w:cs="Arial"/>
                <w:sz w:val="22"/>
                <w:szCs w:val="22"/>
              </w:rPr>
              <w:t>Abzug durchgeführt.</w:t>
            </w:r>
          </w:p>
        </w:tc>
      </w:tr>
      <w:tr w:rsidR="00692F78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692F78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92F78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692F78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692F78" w:rsidRPr="00692F78" w:rsidRDefault="00692F78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Für Tätigkeiten mit Gefahrstoffen, die </w:t>
            </w:r>
            <w:r w:rsidR="00CE3A5C">
              <w:rPr>
                <w:rFonts w:cs="Arial"/>
                <w:sz w:val="22"/>
                <w:szCs w:val="22"/>
              </w:rPr>
              <w:t xml:space="preserve">nur </w:t>
            </w:r>
            <w:r>
              <w:rPr>
                <w:rFonts w:cs="Arial"/>
                <w:sz w:val="22"/>
                <w:szCs w:val="22"/>
              </w:rPr>
              <w:t>außerhalb eines A</w:t>
            </w:r>
            <w:r w:rsidR="00CE3A5C">
              <w:rPr>
                <w:rFonts w:cs="Arial"/>
                <w:sz w:val="22"/>
                <w:szCs w:val="22"/>
              </w:rPr>
              <w:t>bzugs durchgeführt werden können</w:t>
            </w:r>
            <w:r>
              <w:rPr>
                <w:rFonts w:cs="Arial"/>
                <w:sz w:val="22"/>
                <w:szCs w:val="22"/>
              </w:rPr>
              <w:t>, ist eine örtliche Absaugung vorzusehen.</w:t>
            </w:r>
            <w:r>
              <w:rPr>
                <w:rFonts w:cs="Arial"/>
                <w:sz w:val="22"/>
                <w:szCs w:val="22"/>
              </w:rPr>
              <w:br/>
              <w:t>(Dabei die Absaugung möglich</w:t>
            </w:r>
            <w:r w:rsidR="00CE3A5C">
              <w:rPr>
                <w:rFonts w:cs="Arial"/>
                <w:sz w:val="22"/>
                <w:szCs w:val="22"/>
              </w:rPr>
              <w:t>st dicht an die Em</w:t>
            </w:r>
            <w:r>
              <w:rPr>
                <w:rFonts w:cs="Arial"/>
                <w:sz w:val="22"/>
                <w:szCs w:val="22"/>
              </w:rPr>
              <w:t>issionsquelle heran</w:t>
            </w:r>
            <w:r w:rsidR="00CE3A5C">
              <w:rPr>
                <w:rFonts w:cs="Arial"/>
                <w:sz w:val="22"/>
                <w:szCs w:val="22"/>
              </w:rPr>
              <w:t>zu</w:t>
            </w:r>
            <w:r>
              <w:rPr>
                <w:rFonts w:cs="Arial"/>
                <w:sz w:val="22"/>
                <w:szCs w:val="22"/>
              </w:rPr>
              <w:t>führen</w:t>
            </w:r>
            <w:r w:rsidR="00CE3A5C">
              <w:rPr>
                <w:rFonts w:cs="Arial"/>
                <w:sz w:val="22"/>
                <w:szCs w:val="22"/>
              </w:rPr>
              <w:t>)</w:t>
            </w:r>
          </w:p>
        </w:tc>
      </w:tr>
      <w:tr w:rsidR="00692F78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692F78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92F78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692F78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692F78" w:rsidRPr="00052E21" w:rsidRDefault="00692F78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Funktion von örtlichen Absaugungen muss überwacht werden</w:t>
            </w:r>
          </w:p>
        </w:tc>
      </w:tr>
      <w:tr w:rsidR="00692F78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692F78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92F78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692F78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692F78" w:rsidRPr="00052E21" w:rsidRDefault="00CE3A5C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Für Tätigkeiten die mit Staubbildung</w:t>
            </w:r>
            <w:r w:rsidR="00A2188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verbunden sind (Abwiegen con festen Gefahrstoffen) ist </w:t>
            </w:r>
            <w:r w:rsidR="00A2188A">
              <w:rPr>
                <w:rFonts w:cs="Arial"/>
                <w:sz w:val="22"/>
                <w:szCs w:val="22"/>
              </w:rPr>
              <w:t xml:space="preserve">ggf. </w:t>
            </w:r>
            <w:r>
              <w:rPr>
                <w:rFonts w:cs="Arial"/>
                <w:sz w:val="22"/>
                <w:szCs w:val="22"/>
              </w:rPr>
              <w:t xml:space="preserve">das Tragen von Atemschutz vorzusehen (z.B. Filtermasken - </w:t>
            </w:r>
            <w:r w:rsidR="00A2188A">
              <w:rPr>
                <w:rFonts w:cs="Arial"/>
                <w:sz w:val="22"/>
                <w:szCs w:val="22"/>
              </w:rPr>
              <w:t>FFP2-Masken)</w:t>
            </w:r>
          </w:p>
        </w:tc>
      </w:tr>
    </w:tbl>
    <w:p w:rsidR="009E6FBC" w:rsidRDefault="009E6FBC">
      <w:r>
        <w:br w:type="page"/>
      </w:r>
      <w:bookmarkStart w:id="0" w:name="_GoBack"/>
      <w:bookmarkEnd w:id="0"/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 w:firstRow="1" w:lastRow="0" w:firstColumn="1" w:lastColumn="0" w:noHBand="0" w:noVBand="0"/>
      </w:tblPr>
      <w:tblGrid>
        <w:gridCol w:w="710"/>
        <w:gridCol w:w="567"/>
        <w:gridCol w:w="591"/>
        <w:gridCol w:w="8624"/>
      </w:tblGrid>
      <w:tr w:rsidR="003672B8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lastRenderedPageBreak/>
              <w:t>n. z.</w:t>
            </w:r>
          </w:p>
        </w:tc>
        <w:tc>
          <w:tcPr>
            <w:tcW w:w="567" w:type="dxa"/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052E21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052E21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E6E6E6"/>
          </w:tcPr>
          <w:p w:rsidR="003672B8" w:rsidRPr="00052E21" w:rsidRDefault="003672B8" w:rsidP="006873A4">
            <w:pPr>
              <w:numPr>
                <w:ilvl w:val="0"/>
                <w:numId w:val="12"/>
              </w:numPr>
              <w:spacing w:before="120" w:after="120"/>
              <w:rPr>
                <w:rFonts w:cs="Arial"/>
                <w:b/>
                <w:szCs w:val="24"/>
              </w:rPr>
            </w:pPr>
            <w:r w:rsidRPr="00052E21">
              <w:rPr>
                <w:rFonts w:cs="Arial"/>
                <w:b/>
                <w:szCs w:val="24"/>
              </w:rPr>
              <w:t>Aufbewahrung, Lagerung, Transport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16410B" w:rsidRPr="00052E21" w:rsidRDefault="0016410B" w:rsidP="006873A4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Gefäße mit Gefahrstoffen werden grundsätzlich nicht über Griffhöhe (ca. 170-175 cm) abgestellt.</w:t>
            </w:r>
          </w:p>
        </w:tc>
      </w:tr>
      <w:tr w:rsidR="000D3B50" w:rsidRPr="00052E21" w:rsidTr="009A1C7A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0D3B50" w:rsidRDefault="000D3B50" w:rsidP="009A1C7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0D3B50" w:rsidRDefault="000D3B50" w:rsidP="009A1C7A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0D3B50" w:rsidRDefault="000D3B50" w:rsidP="009A1C7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0D3B50" w:rsidRPr="00052E21" w:rsidRDefault="000D3B50" w:rsidP="000D3B50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Die Abfallbehälter stehen an einem sicheren Ort.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Pr="00052E21">
              <w:rPr>
                <w:rFonts w:cs="Arial"/>
                <w:i/>
                <w:sz w:val="22"/>
                <w:szCs w:val="22"/>
              </w:rPr>
              <w:t>(</w:t>
            </w:r>
            <w:r>
              <w:rPr>
                <w:rFonts w:cs="Arial"/>
                <w:i/>
                <w:sz w:val="22"/>
                <w:szCs w:val="22"/>
              </w:rPr>
              <w:t xml:space="preserve">z.B. brennbare Lösemittel im </w:t>
            </w:r>
            <w:r w:rsidRPr="00052E21">
              <w:rPr>
                <w:rFonts w:cs="Arial"/>
                <w:i/>
                <w:sz w:val="22"/>
                <w:szCs w:val="22"/>
              </w:rPr>
              <w:t>Sicherh</w:t>
            </w:r>
            <w:r>
              <w:rPr>
                <w:rFonts w:cs="Arial"/>
                <w:i/>
                <w:sz w:val="22"/>
                <w:szCs w:val="22"/>
              </w:rPr>
              <w:t>eitsschrank</w:t>
            </w:r>
            <w:r w:rsidRPr="00052E21">
              <w:rPr>
                <w:rFonts w:cs="Arial"/>
                <w:i/>
                <w:sz w:val="22"/>
                <w:szCs w:val="22"/>
              </w:rPr>
              <w:t xml:space="preserve">, </w:t>
            </w:r>
            <w:r>
              <w:rPr>
                <w:rFonts w:cs="Arial"/>
                <w:i/>
                <w:sz w:val="22"/>
                <w:szCs w:val="22"/>
              </w:rPr>
              <w:t xml:space="preserve">Säure- und Laugenabfälle  im </w:t>
            </w:r>
            <w:r w:rsidRPr="00052E21">
              <w:rPr>
                <w:rFonts w:cs="Arial"/>
                <w:i/>
                <w:sz w:val="22"/>
                <w:szCs w:val="22"/>
              </w:rPr>
              <w:t>Säure-/Laugenschrank mit Auffangwanne)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10B" w:rsidRPr="00052E21" w:rsidRDefault="0016410B" w:rsidP="000D3B50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Gefahrstoffe, die miteinander gefährlich reagieren können, werden getrennt voneinander aufbewahrt und gelagert.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Pr="00052E21">
              <w:rPr>
                <w:rFonts w:cs="Arial"/>
                <w:i/>
                <w:sz w:val="22"/>
                <w:szCs w:val="22"/>
              </w:rPr>
              <w:t>(es kann bereits ausreichend sein, die Stoffe in unterschiedliche Auffangwannen einzustellen)</w:t>
            </w:r>
          </w:p>
        </w:tc>
      </w:tr>
      <w:tr w:rsidR="00D231B1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D231B1" w:rsidRDefault="00D231B1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D231B1" w:rsidRPr="00B00CB8" w:rsidRDefault="00D231B1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D231B1" w:rsidRDefault="00D231B1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31B1" w:rsidRPr="00052E21" w:rsidRDefault="00D231B1" w:rsidP="000D3B50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Säuren werden nicht in Sicherheitsschränken für brennbare Lösemittel aufbewahrt.</w:t>
            </w:r>
          </w:p>
        </w:tc>
      </w:tr>
      <w:tr w:rsidR="00D231B1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D231B1" w:rsidRDefault="00D231B1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231B1" w:rsidRPr="00B00CB8" w:rsidRDefault="00D231B1" w:rsidP="00052E21">
            <w:pPr>
              <w:spacing w:before="120"/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D231B1" w:rsidRDefault="00D231B1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31B1" w:rsidRPr="00052E21" w:rsidRDefault="00D231B1" w:rsidP="000D3B50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Onzentrierte Säuren und Laugen werden in Auffangwannen gestellt und in Säure- / Laugenschränken aufbewahrt.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10B" w:rsidRPr="00052E21" w:rsidRDefault="00D231B1" w:rsidP="000D3B50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Für den Transport von </w:t>
            </w:r>
            <w:r w:rsidR="0016410B" w:rsidRPr="00052E21">
              <w:rPr>
                <w:rFonts w:cs="Arial"/>
                <w:sz w:val="22"/>
                <w:szCs w:val="22"/>
              </w:rPr>
              <w:t>Gefahrstoffe</w:t>
            </w:r>
            <w:r>
              <w:rPr>
                <w:rFonts w:cs="Arial"/>
                <w:sz w:val="22"/>
                <w:szCs w:val="22"/>
              </w:rPr>
              <w:t>n werden nur dicht schließende Behälter</w:t>
            </w:r>
            <w:r w:rsidR="0016410B" w:rsidRPr="00052E21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verwendet.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10B" w:rsidRPr="00052E21" w:rsidRDefault="00D428B6" w:rsidP="000D3B50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Giftige </w:t>
            </w:r>
            <w:r w:rsidR="0016410B" w:rsidRPr="00052E21">
              <w:rPr>
                <w:rFonts w:cs="Arial"/>
                <w:sz w:val="22"/>
                <w:szCs w:val="22"/>
              </w:rPr>
              <w:t>Stoffe und Zubereitungen werden unter Verschluss oder so aufbewahrt oder gelagert, dass nur fachkundige Personen Zugang haben.</w:t>
            </w:r>
          </w:p>
        </w:tc>
      </w:tr>
      <w:tr w:rsidR="00360CB1" w:rsidRPr="00052E21" w:rsidTr="00272E73">
        <w:trPr>
          <w:cantSplit/>
        </w:trPr>
        <w:tc>
          <w:tcPr>
            <w:tcW w:w="7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60CB1" w:rsidRDefault="008357C3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0CB1" w:rsidRPr="00B00CB8" w:rsidRDefault="008357C3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B1" w:rsidRDefault="008357C3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CB1" w:rsidRPr="00052E21" w:rsidRDefault="00360CB1" w:rsidP="000D3B50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Gefahrstoffgefäße werden möglichst in Orginalbehältern aufbewahrt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10B" w:rsidRPr="00052E21" w:rsidRDefault="0016410B" w:rsidP="000D3B50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Es stehen Hilfsmittel (z.B. Eimer) bereit, wenn Gefahrstoffe in nicht bruchsicheren Gefäßen transportiert werden müssen.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Pr="00D428B6">
              <w:rPr>
                <w:rFonts w:cs="Arial"/>
                <w:i/>
                <w:sz w:val="22"/>
                <w:szCs w:val="22"/>
              </w:rPr>
              <w:t>(z.B. vom Chemikalienlager abgeholt</w:t>
            </w:r>
            <w:r w:rsidR="00273A65" w:rsidRPr="00D428B6">
              <w:rPr>
                <w:rFonts w:cs="Arial"/>
                <w:i/>
                <w:sz w:val="22"/>
                <w:szCs w:val="22"/>
              </w:rPr>
              <w:t xml:space="preserve"> ode</w:t>
            </w:r>
            <w:r w:rsidRPr="00D428B6">
              <w:rPr>
                <w:rFonts w:cs="Arial"/>
                <w:i/>
                <w:sz w:val="22"/>
                <w:szCs w:val="22"/>
              </w:rPr>
              <w:t>r</w:t>
            </w:r>
            <w:r w:rsidR="00273A65" w:rsidRPr="00D428B6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D428B6">
              <w:rPr>
                <w:rFonts w:cs="Arial"/>
                <w:i/>
                <w:sz w:val="22"/>
                <w:szCs w:val="22"/>
              </w:rPr>
              <w:t>auch in andere Räume transportiert werden müssen )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16410B" w:rsidRPr="00052E21" w:rsidRDefault="0016410B" w:rsidP="000D3B50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Gefahrstoffe werden</w:t>
            </w:r>
            <w:r w:rsidR="00360CB1">
              <w:rPr>
                <w:rFonts w:cs="Arial"/>
                <w:sz w:val="22"/>
                <w:szCs w:val="22"/>
              </w:rPr>
              <w:t xml:space="preserve"> nicht in Lebensmittelbehälter abgefüllt und </w:t>
            </w:r>
            <w:r w:rsidRPr="00052E21">
              <w:rPr>
                <w:rFonts w:cs="Arial"/>
                <w:sz w:val="22"/>
                <w:szCs w:val="22"/>
              </w:rPr>
              <w:t>aufbewahrt</w:t>
            </w:r>
          </w:p>
        </w:tc>
      </w:tr>
      <w:tr w:rsidR="000D3B50" w:rsidRPr="00052E21" w:rsidTr="009A1C7A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0D3B50" w:rsidRDefault="000D3B50" w:rsidP="009A1C7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0D3B50" w:rsidRDefault="000D3B50" w:rsidP="009A1C7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0D3B50" w:rsidRDefault="000D3B50" w:rsidP="009A1C7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3B50" w:rsidRDefault="000D3B50" w:rsidP="000D3B50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Reinigungsbäder für Glasgeräte (z.B. gefüllt mit KOH / Propanol) sind bruchsicher und werden verschlossen gehalten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16410B" w:rsidRPr="00052E21" w:rsidRDefault="0016410B" w:rsidP="000D3B50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 xml:space="preserve">Gefahrstoffe werden nicht zusammen mit Lebensmitteln, Arznei- und Futtermitteln aufbewahrt </w:t>
            </w:r>
            <w:r w:rsidR="00D428B6">
              <w:rPr>
                <w:rFonts w:cs="Arial"/>
                <w:sz w:val="22"/>
                <w:szCs w:val="22"/>
              </w:rPr>
              <w:t>bzw</w:t>
            </w:r>
            <w:r w:rsidR="00360CB1">
              <w:rPr>
                <w:rFonts w:cs="Arial"/>
                <w:sz w:val="22"/>
                <w:szCs w:val="22"/>
              </w:rPr>
              <w:t xml:space="preserve"> </w:t>
            </w:r>
            <w:r w:rsidR="00D428B6">
              <w:rPr>
                <w:rFonts w:cs="Arial"/>
                <w:sz w:val="22"/>
                <w:szCs w:val="22"/>
              </w:rPr>
              <w:t>gelagert</w:t>
            </w:r>
          </w:p>
        </w:tc>
      </w:tr>
      <w:tr w:rsidR="003672B8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67" w:type="dxa"/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052E21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052E21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E6E6E6"/>
          </w:tcPr>
          <w:p w:rsidR="003672B8" w:rsidRPr="00052E21" w:rsidRDefault="000D3B50" w:rsidP="000D3B50">
            <w:pPr>
              <w:numPr>
                <w:ilvl w:val="0"/>
                <w:numId w:val="12"/>
              </w:numPr>
              <w:spacing w:before="120"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ab/>
            </w:r>
            <w:r w:rsidR="003672B8" w:rsidRPr="00052E21">
              <w:rPr>
                <w:rFonts w:cs="Arial"/>
                <w:b/>
                <w:szCs w:val="24"/>
              </w:rPr>
              <w:t>Brand- und Explosionsgefahren</w:t>
            </w:r>
          </w:p>
        </w:tc>
      </w:tr>
      <w:tr w:rsidR="00FE3395" w:rsidRPr="00052E21" w:rsidTr="00272E73">
        <w:trPr>
          <w:cantSplit/>
        </w:trPr>
        <w:tc>
          <w:tcPr>
            <w:tcW w:w="7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E3395" w:rsidRDefault="00FE3395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3395" w:rsidRPr="00B00CB8" w:rsidRDefault="00FE3395" w:rsidP="00052E21">
            <w:pPr>
              <w:spacing w:before="120"/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95" w:rsidRDefault="00FE3395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8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395" w:rsidRPr="00052E21" w:rsidRDefault="00FE3395" w:rsidP="00895BB8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Für Arbeitsplätze, in denen mit größeren Mengen brennbarer Flüssigkeiten gearbeitet wird (z.B. Destillenarbeitsplätze) ist die Erstellung eines Exp</w:t>
            </w:r>
            <w:r w:rsidR="00D231B1">
              <w:rPr>
                <w:rFonts w:cs="Arial"/>
                <w:sz w:val="22"/>
                <w:szCs w:val="22"/>
              </w:rPr>
              <w:t>losionsschutzdokumentes notwendig</w:t>
            </w:r>
            <w:r w:rsidRPr="00052E21">
              <w:rPr>
                <w:rFonts w:cs="Arial"/>
                <w:sz w:val="22"/>
                <w:szCs w:val="22"/>
              </w:rPr>
              <w:t>.</w:t>
            </w:r>
            <w:r w:rsidR="00895BB8">
              <w:rPr>
                <w:rFonts w:cs="Arial"/>
                <w:sz w:val="22"/>
                <w:szCs w:val="22"/>
              </w:rPr>
              <w:t xml:space="preserve"> Hierbei werden </w:t>
            </w:r>
            <w:r w:rsidR="00895BB8" w:rsidRPr="00052E21">
              <w:rPr>
                <w:rFonts w:cs="Arial"/>
                <w:sz w:val="22"/>
                <w:szCs w:val="22"/>
              </w:rPr>
              <w:t>Maßnahmen zum Schutz gegen unbeabsichtigtes Freisetzen von Gefahrstoffen, die zu Brand- und Explosionsge</w:t>
            </w:r>
            <w:r w:rsidR="00895BB8">
              <w:rPr>
                <w:rFonts w:cs="Arial"/>
                <w:sz w:val="22"/>
                <w:szCs w:val="22"/>
              </w:rPr>
              <w:t>fahren führen können, getroffen.</w:t>
            </w:r>
            <w:r w:rsidR="00895BB8">
              <w:rPr>
                <w:rFonts w:cs="Arial"/>
                <w:i/>
                <w:sz w:val="22"/>
                <w:szCs w:val="22"/>
              </w:rPr>
              <w:br/>
            </w:r>
            <w:r w:rsidR="00895BB8" w:rsidRPr="00052E21">
              <w:rPr>
                <w:rFonts w:cs="Arial"/>
                <w:i/>
                <w:sz w:val="22"/>
                <w:szCs w:val="22"/>
              </w:rPr>
              <w:t>(Hierbei auch mögliche elektrostatische Entladungen berücksichtigen)</w:t>
            </w:r>
          </w:p>
        </w:tc>
      </w:tr>
      <w:tr w:rsidR="00590DC1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590DC1" w:rsidRDefault="00590DC1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590DC1" w:rsidRDefault="00590DC1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590DC1" w:rsidRDefault="00590DC1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DC1" w:rsidRPr="00052E21" w:rsidRDefault="00590DC1" w:rsidP="00895BB8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Bei</w:t>
            </w:r>
            <w:r w:rsidR="00FE3395" w:rsidRPr="00052E21">
              <w:rPr>
                <w:rFonts w:cs="Arial"/>
                <w:sz w:val="22"/>
                <w:szCs w:val="22"/>
              </w:rPr>
              <w:t xml:space="preserve"> Arbeiten mit größeren Mengen an </w:t>
            </w:r>
            <w:r w:rsidRPr="00052E21">
              <w:rPr>
                <w:rFonts w:cs="Arial"/>
                <w:sz w:val="22"/>
                <w:szCs w:val="22"/>
              </w:rPr>
              <w:t>hoch- oder leichtentzündliche Flüssigkeiten in Glasgefäßen (z.B. Lösemitteldestillen) wird eine geeignete Auffangwanne mit einem Wabengittereinsatz oder einer geeigneten Füllung verwendet.</w:t>
            </w:r>
          </w:p>
        </w:tc>
      </w:tr>
      <w:tr w:rsidR="00E87AC1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E87AC1" w:rsidRDefault="00A016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E87AC1" w:rsidRPr="00B00CB8" w:rsidRDefault="00A0160B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E87AC1" w:rsidRDefault="00A016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7AC1" w:rsidRPr="00052E21" w:rsidRDefault="00FE3395" w:rsidP="00895BB8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Werden mehrere Destillationsanlagen in Abzügen oder Abluftboxen betrieben, ist der Abzug / Abluftbox aus Brandschutzgründen mit einer CO</w:t>
            </w:r>
            <w:r w:rsidRPr="00D231B1">
              <w:rPr>
                <w:rFonts w:cs="Arial"/>
                <w:sz w:val="22"/>
                <w:szCs w:val="22"/>
                <w:vertAlign w:val="subscript"/>
              </w:rPr>
              <w:t>2</w:t>
            </w:r>
            <w:r w:rsidRPr="00052E21">
              <w:rPr>
                <w:rFonts w:cs="Arial"/>
                <w:sz w:val="22"/>
                <w:szCs w:val="22"/>
              </w:rPr>
              <w:t>-Kleinlöschanlage ausgestattet.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10B" w:rsidRPr="00052E21" w:rsidRDefault="0016410B" w:rsidP="00895BB8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Brennbare Flüssig</w:t>
            </w:r>
            <w:r w:rsidR="006B2D18" w:rsidRPr="00052E21">
              <w:rPr>
                <w:rFonts w:cs="Arial"/>
                <w:sz w:val="22"/>
                <w:szCs w:val="22"/>
              </w:rPr>
              <w:t>keiten werden nur in Mengen für den Handgebrauch in Behältnissen von höchstens 1 Liter Nennvolumen am Laborplatz aufbewahrt.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="00273A65" w:rsidRPr="00052E21">
              <w:rPr>
                <w:rFonts w:cs="Arial"/>
                <w:i/>
                <w:sz w:val="20"/>
              </w:rPr>
              <w:t xml:space="preserve">(Aufbewahrung </w:t>
            </w:r>
            <w:r w:rsidRPr="00052E21">
              <w:rPr>
                <w:rFonts w:cs="Arial"/>
                <w:i/>
                <w:sz w:val="20"/>
              </w:rPr>
              <w:t>möglich</w:t>
            </w:r>
            <w:r w:rsidR="00273A65" w:rsidRPr="00052E21">
              <w:rPr>
                <w:rFonts w:cs="Arial"/>
                <w:i/>
                <w:sz w:val="20"/>
              </w:rPr>
              <w:t>st</w:t>
            </w:r>
            <w:r w:rsidRPr="00052E21">
              <w:rPr>
                <w:rFonts w:cs="Arial"/>
                <w:i/>
                <w:sz w:val="20"/>
              </w:rPr>
              <w:t xml:space="preserve"> in</w:t>
            </w:r>
            <w:r w:rsidR="00273A65" w:rsidRPr="00052E21">
              <w:rPr>
                <w:rFonts w:cs="Arial"/>
                <w:i/>
                <w:sz w:val="20"/>
              </w:rPr>
              <w:t xml:space="preserve"> Sicherheitskannen, die im Chemikalien</w:t>
            </w:r>
            <w:r w:rsidRPr="00052E21">
              <w:rPr>
                <w:rFonts w:cs="Arial"/>
                <w:i/>
                <w:sz w:val="20"/>
              </w:rPr>
              <w:t>lager erhältlich sind)</w:t>
            </w:r>
            <w:r w:rsidRPr="00052E2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10B" w:rsidRPr="00052E21" w:rsidRDefault="0016410B" w:rsidP="00895BB8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In den Innenräumen von Kühlschränken oder Kühltruhen sind die Zündquellen entfernt.</w:t>
            </w:r>
            <w:r w:rsidRPr="00052E21">
              <w:rPr>
                <w:rFonts w:cs="Arial"/>
                <w:sz w:val="22"/>
                <w:szCs w:val="22"/>
              </w:rPr>
              <w:br/>
              <w:t>Sie sind gekennzeichnet mit dem Schild „Nur Innenraum frei von Zündquellen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10B" w:rsidRPr="00052E21" w:rsidRDefault="0016410B" w:rsidP="00895BB8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 xml:space="preserve">Brennbare Flüssigkeiten werden in </w:t>
            </w:r>
            <w:r w:rsidR="00895BB8">
              <w:rPr>
                <w:rFonts w:cs="Arial"/>
                <w:sz w:val="22"/>
                <w:szCs w:val="22"/>
              </w:rPr>
              <w:t>belüfteten Sicherheitsschränken gelagert.</w:t>
            </w:r>
            <w:r w:rsidR="00895BB8">
              <w:rPr>
                <w:rFonts w:cs="Arial"/>
                <w:sz w:val="22"/>
                <w:szCs w:val="22"/>
              </w:rPr>
              <w:br/>
              <w:t>(auf Kennzeichnung am Schrank achten)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10B" w:rsidRPr="00052E21" w:rsidRDefault="002D3622" w:rsidP="00895BB8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 xml:space="preserve">Vorräte an </w:t>
            </w:r>
            <w:r w:rsidR="0016410B" w:rsidRPr="00052E21">
              <w:rPr>
                <w:rFonts w:cs="Arial"/>
                <w:sz w:val="22"/>
                <w:szCs w:val="22"/>
              </w:rPr>
              <w:t>Brennga</w:t>
            </w:r>
            <w:r w:rsidRPr="00052E21">
              <w:rPr>
                <w:rFonts w:cs="Arial"/>
                <w:sz w:val="22"/>
                <w:szCs w:val="22"/>
              </w:rPr>
              <w:t xml:space="preserve">skartuschen werden ebenfalls </w:t>
            </w:r>
            <w:r w:rsidR="0016410B" w:rsidRPr="00052E21">
              <w:rPr>
                <w:rFonts w:cs="Arial"/>
                <w:sz w:val="22"/>
                <w:szCs w:val="22"/>
              </w:rPr>
              <w:t>in einem Sicherheitsschrank aufbewahrt.</w:t>
            </w:r>
          </w:p>
        </w:tc>
      </w:tr>
      <w:tr w:rsidR="003672B8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E6E6E6"/>
          </w:tcPr>
          <w:p w:rsidR="003672B8" w:rsidRPr="00052E21" w:rsidRDefault="00F6755A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567" w:type="dxa"/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052E21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052E21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E6E6E6"/>
          </w:tcPr>
          <w:p w:rsidR="003672B8" w:rsidRPr="00052E21" w:rsidRDefault="00F6755A" w:rsidP="00895BB8">
            <w:pPr>
              <w:numPr>
                <w:ilvl w:val="0"/>
                <w:numId w:val="12"/>
              </w:numPr>
              <w:spacing w:before="120" w:after="120"/>
              <w:rPr>
                <w:rFonts w:cs="Arial"/>
                <w:b/>
                <w:szCs w:val="24"/>
              </w:rPr>
            </w:pPr>
            <w:r w:rsidRPr="00052E21">
              <w:rPr>
                <w:rFonts w:cs="Arial"/>
                <w:b/>
                <w:szCs w:val="24"/>
              </w:rPr>
              <w:t>Eigene Ergänzungen</w:t>
            </w:r>
          </w:p>
        </w:tc>
      </w:tr>
      <w:tr w:rsidR="005C375D" w:rsidRPr="00052E21" w:rsidTr="00272E73">
        <w:trPr>
          <w:cantSplit/>
        </w:trPr>
        <w:tc>
          <w:tcPr>
            <w:tcW w:w="710" w:type="dxa"/>
            <w:vMerge w:val="restart"/>
            <w:tcBorders>
              <w:right w:val="nil"/>
            </w:tcBorders>
            <w:shd w:val="clear" w:color="auto" w:fill="auto"/>
          </w:tcPr>
          <w:p w:rsidR="005C375D" w:rsidRDefault="005C375D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C375D" w:rsidRDefault="008357C3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5C375D" w:rsidRDefault="008357C3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5C375D" w:rsidRPr="00052E21" w:rsidRDefault="005C375D" w:rsidP="00895BB8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C375D" w:rsidRPr="00052E21" w:rsidTr="00272E73">
        <w:trPr>
          <w:cantSplit/>
        </w:trPr>
        <w:tc>
          <w:tcPr>
            <w:tcW w:w="710" w:type="dxa"/>
            <w:vMerge/>
            <w:tcBorders>
              <w:right w:val="nil"/>
            </w:tcBorders>
            <w:shd w:val="clear" w:color="auto" w:fill="auto"/>
          </w:tcPr>
          <w:p w:rsidR="005C375D" w:rsidRDefault="005C375D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C375D" w:rsidRDefault="008357C3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5C375D" w:rsidRDefault="008357C3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5C375D" w:rsidRPr="00052E21" w:rsidRDefault="005C375D" w:rsidP="00895BB8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C375D" w:rsidRPr="00052E21" w:rsidTr="00272E73">
        <w:trPr>
          <w:cantSplit/>
        </w:trPr>
        <w:tc>
          <w:tcPr>
            <w:tcW w:w="710" w:type="dxa"/>
            <w:vMerge/>
            <w:tcBorders>
              <w:right w:val="nil"/>
            </w:tcBorders>
            <w:shd w:val="clear" w:color="auto" w:fill="auto"/>
          </w:tcPr>
          <w:p w:rsidR="005C375D" w:rsidRDefault="005C375D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C375D" w:rsidRDefault="008357C3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5C375D" w:rsidRDefault="008357C3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5C375D" w:rsidRPr="00052E21" w:rsidRDefault="005C375D" w:rsidP="00895BB8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C375D" w:rsidRPr="00052E21" w:rsidTr="00272E73">
        <w:trPr>
          <w:cantSplit/>
        </w:trPr>
        <w:tc>
          <w:tcPr>
            <w:tcW w:w="710" w:type="dxa"/>
            <w:vMerge/>
            <w:tcBorders>
              <w:right w:val="nil"/>
            </w:tcBorders>
            <w:shd w:val="clear" w:color="auto" w:fill="auto"/>
          </w:tcPr>
          <w:p w:rsidR="005C375D" w:rsidRDefault="005C375D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C375D" w:rsidRDefault="008357C3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5C375D" w:rsidRDefault="008357C3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5C375D" w:rsidRPr="00052E21" w:rsidRDefault="005C375D" w:rsidP="00895BB8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C375D" w:rsidRPr="00052E21" w:rsidTr="00272E73">
        <w:trPr>
          <w:cantSplit/>
        </w:trPr>
        <w:tc>
          <w:tcPr>
            <w:tcW w:w="710" w:type="dxa"/>
            <w:vMerge/>
            <w:tcBorders>
              <w:right w:val="nil"/>
            </w:tcBorders>
            <w:shd w:val="clear" w:color="auto" w:fill="auto"/>
          </w:tcPr>
          <w:p w:rsidR="005C375D" w:rsidRDefault="005C375D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C375D" w:rsidRDefault="008357C3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5C375D" w:rsidRDefault="008357C3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5C375D" w:rsidRPr="00052E21" w:rsidRDefault="005C375D" w:rsidP="00895BB8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C375D" w:rsidRPr="00052E21" w:rsidTr="00272E73">
        <w:trPr>
          <w:cantSplit/>
        </w:trPr>
        <w:tc>
          <w:tcPr>
            <w:tcW w:w="710" w:type="dxa"/>
            <w:vMerge/>
            <w:tcBorders>
              <w:right w:val="nil"/>
            </w:tcBorders>
            <w:shd w:val="clear" w:color="auto" w:fill="auto"/>
          </w:tcPr>
          <w:p w:rsidR="005C375D" w:rsidRDefault="005C375D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C375D" w:rsidRDefault="008357C3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5C375D" w:rsidRDefault="008357C3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5C375D" w:rsidRPr="00052E21" w:rsidRDefault="005C375D" w:rsidP="00895BB8">
            <w:pPr>
              <w:numPr>
                <w:ilvl w:val="1"/>
                <w:numId w:val="12"/>
              </w:num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:rsidR="003672B8" w:rsidRDefault="003672B8" w:rsidP="003672B8"/>
    <w:p w:rsidR="003672B8" w:rsidRDefault="003672B8" w:rsidP="003672B8">
      <w:pPr>
        <w:spacing w:after="0"/>
        <w:sectPr w:rsidR="003672B8" w:rsidSect="00F70D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77" w:right="1134" w:bottom="726" w:left="1134" w:header="709" w:footer="181" w:gutter="0"/>
          <w:cols w:space="720"/>
          <w:titlePg/>
        </w:sectPr>
      </w:pPr>
    </w:p>
    <w:tbl>
      <w:tblPr>
        <w:tblW w:w="1509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82"/>
        <w:gridCol w:w="2160"/>
        <w:gridCol w:w="1680"/>
      </w:tblGrid>
      <w:tr w:rsidR="003672B8">
        <w:trPr>
          <w:cantSplit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672B8" w:rsidRDefault="003672B8" w:rsidP="00F45C21">
            <w:pPr>
              <w:spacing w:before="40" w:after="40"/>
              <w:ind w:leftChars="-29" w:left="-7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1</w:t>
            </w:r>
          </w:p>
        </w:tc>
        <w:tc>
          <w:tcPr>
            <w:tcW w:w="9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672B8" w:rsidRDefault="003672B8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672B8" w:rsidRDefault="003672B8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672B8" w:rsidRDefault="003672B8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 w:rsidR="003672B8">
        <w:trPr>
          <w:cantSplit/>
          <w:trHeight w:val="1047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2B8" w:rsidRDefault="003672B8">
            <w:pPr>
              <w:pStyle w:val="Textkrper"/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72B8" w:rsidRDefault="003672B8">
            <w:pPr>
              <w:pStyle w:val="Textkrper"/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 Punkt:</w:t>
            </w:r>
          </w:p>
        </w:tc>
        <w:tc>
          <w:tcPr>
            <w:tcW w:w="9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2B8" w:rsidRDefault="003672B8">
            <w:pPr>
              <w:pStyle w:val="Textkrper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Vorhandene Defizite / Mängel sowie Maßnahmen zur deren Beseitigung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br/>
            </w:r>
            <w:r>
              <w:rPr>
                <w:rFonts w:cs="Arial"/>
                <w:sz w:val="20"/>
              </w:rPr>
              <w:t>Realisierung bis:</w:t>
            </w:r>
            <w:r>
              <w:rPr>
                <w:rFonts w:cs="Arial"/>
                <w:sz w:val="20"/>
              </w:rPr>
              <w:br/>
              <w:t>Zuständig: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br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2B8" w:rsidRDefault="003672B8">
            <w:pPr>
              <w:spacing w:after="6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Mangel beseitigt, Wirksamkeit </w:t>
            </w:r>
            <w:r>
              <w:rPr>
                <w:rFonts w:cs="Arial"/>
                <w:sz w:val="18"/>
              </w:rPr>
              <w:br/>
              <w:t>geprüft.</w:t>
            </w:r>
          </w:p>
          <w:p w:rsidR="003672B8" w:rsidRDefault="003672B8">
            <w:pPr>
              <w:spacing w:after="6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</w:t>
            </w:r>
          </w:p>
          <w:p w:rsidR="003672B8" w:rsidRDefault="003672B8">
            <w:pPr>
              <w:spacing w:after="4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Unterschrift</w:t>
            </w:r>
          </w:p>
        </w:tc>
      </w:tr>
      <w:tr w:rsidR="003672B8">
        <w:trPr>
          <w:cantSplit/>
          <w:trHeight w:val="340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672B8" w:rsidRDefault="003672B8">
            <w:pPr>
              <w:pStyle w:val="U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U1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U1"/>
              <w:rPr>
                <w:rFonts w:ascii="Arial" w:hAnsi="Arial" w:cs="Arial"/>
                <w:sz w:val="20"/>
              </w:rPr>
            </w:pPr>
          </w:p>
          <w:p w:rsidR="003672B8" w:rsidRDefault="003672B8">
            <w:pPr>
              <w:pStyle w:val="U1"/>
              <w:rPr>
                <w:rFonts w:ascii="Arial" w:hAnsi="Arial" w:cs="Arial"/>
                <w:sz w:val="20"/>
              </w:rPr>
            </w:pPr>
          </w:p>
          <w:p w:rsidR="003672B8" w:rsidRDefault="003672B8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U1"/>
              <w:rPr>
                <w:rFonts w:ascii="Arial" w:hAnsi="Arial" w:cs="Arial"/>
                <w:sz w:val="20"/>
              </w:rPr>
            </w:pPr>
          </w:p>
        </w:tc>
      </w:tr>
    </w:tbl>
    <w:p w:rsidR="00380E9F" w:rsidRDefault="00380E9F" w:rsidP="00380E9F">
      <w:pPr>
        <w:pStyle w:val="berschrift1"/>
        <w:ind w:leftChars="59" w:left="142"/>
        <w:rPr>
          <w:sz w:val="24"/>
          <w:szCs w:val="24"/>
        </w:rPr>
      </w:pPr>
      <w:r>
        <w:rPr>
          <w:sz w:val="24"/>
          <w:szCs w:val="24"/>
        </w:rPr>
        <w:t>Auswahl der wichtigsten Vorschriften sowie umfangreiche Informationen und Unterlagen auf den Internetseiten der AGU / Arbeitssicherheit und Arbeitsmedizin</w:t>
      </w:r>
    </w:p>
    <w:p w:rsidR="0016410B" w:rsidRDefault="0016410B" w:rsidP="0016410B">
      <w:pPr>
        <w:spacing w:after="0"/>
      </w:pPr>
    </w:p>
    <w:sectPr w:rsidR="0016410B" w:rsidSect="003672B8">
      <w:headerReference w:type="default" r:id="rId14"/>
      <w:footerReference w:type="even" r:id="rId15"/>
      <w:footerReference w:type="default" r:id="rId16"/>
      <w:pgSz w:w="16838" w:h="11906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AD" w:rsidRDefault="001F1EAD">
      <w:r>
        <w:separator/>
      </w:r>
    </w:p>
  </w:endnote>
  <w:endnote w:type="continuationSeparator" w:id="0">
    <w:p w:rsidR="001F1EAD" w:rsidRDefault="001F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0F" w:rsidRDefault="000B540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3F67C5" w:rsidRPr="00186AA6" w:rsidTr="003F67C5">
      <w:trPr>
        <w:trHeight w:val="480"/>
      </w:trPr>
      <w:tc>
        <w:tcPr>
          <w:tcW w:w="2106" w:type="dxa"/>
          <w:shd w:val="clear" w:color="auto" w:fill="auto"/>
          <w:vAlign w:val="center"/>
        </w:tcPr>
        <w:p w:rsidR="003F67C5" w:rsidRPr="00B6508F" w:rsidRDefault="003F67C5" w:rsidP="00974F48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3F67C5" w:rsidRPr="00186AA6" w:rsidRDefault="003F67C5" w:rsidP="00974F48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9E6FBC">
            <w:rPr>
              <w:rFonts w:cs="Arial"/>
              <w:bCs/>
              <w:noProof/>
              <w:sz w:val="22"/>
              <w:szCs w:val="22"/>
            </w:rPr>
            <w:t>5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9E6FBC">
            <w:rPr>
              <w:rFonts w:cs="Arial"/>
              <w:bCs/>
              <w:noProof/>
              <w:sz w:val="22"/>
              <w:szCs w:val="22"/>
            </w:rPr>
            <w:t>7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shd w:val="clear" w:color="auto" w:fill="auto"/>
          <w:vAlign w:val="center"/>
        </w:tcPr>
        <w:p w:rsidR="003F67C5" w:rsidRPr="00B6508F" w:rsidRDefault="003F67C5" w:rsidP="00974F48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337216" w:rsidRDefault="0033721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58362B" w:rsidRPr="00186AA6" w:rsidTr="0058362B">
      <w:trPr>
        <w:trHeight w:val="480"/>
      </w:trPr>
      <w:tc>
        <w:tcPr>
          <w:tcW w:w="2106" w:type="dxa"/>
          <w:shd w:val="clear" w:color="auto" w:fill="auto"/>
          <w:vAlign w:val="center"/>
        </w:tcPr>
        <w:p w:rsidR="0058362B" w:rsidRPr="00B6508F" w:rsidRDefault="0058362B" w:rsidP="00804FB1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58362B" w:rsidRPr="00186AA6" w:rsidRDefault="0058362B" w:rsidP="00804FB1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9E6FBC">
            <w:rPr>
              <w:rFonts w:cs="Arial"/>
              <w:bCs/>
              <w:noProof/>
              <w:sz w:val="22"/>
              <w:szCs w:val="22"/>
            </w:rPr>
            <w:t>1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9E6FBC">
            <w:rPr>
              <w:rFonts w:cs="Arial"/>
              <w:bCs/>
              <w:noProof/>
              <w:sz w:val="22"/>
              <w:szCs w:val="22"/>
            </w:rPr>
            <w:t>7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shd w:val="clear" w:color="auto" w:fill="auto"/>
          <w:vAlign w:val="center"/>
        </w:tcPr>
        <w:p w:rsidR="0058362B" w:rsidRPr="00B6508F" w:rsidRDefault="0058362B" w:rsidP="00804FB1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58362B" w:rsidRDefault="0058362B" w:rsidP="0058362B">
    <w:pPr>
      <w:pStyle w:val="Fuzeile"/>
      <w:spacing w:after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16" w:rsidRDefault="00337216" w:rsidP="003F2E0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37216" w:rsidRDefault="00337216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19" w:type="dxa"/>
      <w:jc w:val="center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4173"/>
    </w:tblGrid>
    <w:tr w:rsidR="008357C3" w:rsidRPr="00186AA6" w:rsidTr="008357C3">
      <w:trPr>
        <w:trHeight w:val="480"/>
        <w:jc w:val="center"/>
      </w:trPr>
      <w:tc>
        <w:tcPr>
          <w:tcW w:w="2106" w:type="dxa"/>
          <w:shd w:val="clear" w:color="auto" w:fill="auto"/>
          <w:vAlign w:val="center"/>
        </w:tcPr>
        <w:p w:rsidR="008357C3" w:rsidRPr="00B6508F" w:rsidRDefault="008357C3" w:rsidP="00804FB1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8357C3" w:rsidRPr="00186AA6" w:rsidRDefault="008357C3" w:rsidP="00804FB1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9E6FBC">
            <w:rPr>
              <w:rFonts w:cs="Arial"/>
              <w:bCs/>
              <w:noProof/>
              <w:sz w:val="22"/>
              <w:szCs w:val="22"/>
            </w:rPr>
            <w:t>6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9E6FBC">
            <w:rPr>
              <w:rFonts w:cs="Arial"/>
              <w:bCs/>
              <w:noProof/>
              <w:sz w:val="22"/>
              <w:szCs w:val="22"/>
            </w:rPr>
            <w:t>7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4173" w:type="dxa"/>
          <w:shd w:val="clear" w:color="auto" w:fill="auto"/>
          <w:vAlign w:val="center"/>
        </w:tcPr>
        <w:p w:rsidR="008357C3" w:rsidRPr="00B6508F" w:rsidRDefault="008357C3" w:rsidP="00804FB1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337216" w:rsidRDefault="0033721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AD" w:rsidRDefault="001F1EAD">
      <w:r>
        <w:separator/>
      </w:r>
    </w:p>
  </w:footnote>
  <w:footnote w:type="continuationSeparator" w:id="0">
    <w:p w:rsidR="001F1EAD" w:rsidRDefault="001F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0F" w:rsidRDefault="000B540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56" w:type="dxa"/>
      <w:tblBorders>
        <w:top w:val="single" w:sz="36" w:space="0" w:color="00A9E0"/>
        <w:left w:val="single" w:sz="36" w:space="0" w:color="00A9E0"/>
        <w:bottom w:val="single" w:sz="36" w:space="0" w:color="00A9E0"/>
        <w:right w:val="single" w:sz="36" w:space="0" w:color="00A9E0"/>
        <w:insideH w:val="single" w:sz="6" w:space="0" w:color="00A9E0"/>
        <w:insideV w:val="single" w:sz="6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962"/>
      <w:gridCol w:w="2835"/>
    </w:tblGrid>
    <w:tr w:rsidR="008357C3" w:rsidTr="00804FB1">
      <w:tblPrEx>
        <w:tblCellMar>
          <w:top w:w="0" w:type="dxa"/>
          <w:bottom w:w="0" w:type="dxa"/>
        </w:tblCellMar>
      </w:tblPrEx>
      <w:trPr>
        <w:trHeight w:val="1608"/>
      </w:trPr>
      <w:tc>
        <w:tcPr>
          <w:tcW w:w="2694" w:type="dxa"/>
          <w:vAlign w:val="center"/>
        </w:tcPr>
        <w:p w:rsidR="008357C3" w:rsidRPr="003F67C5" w:rsidRDefault="008357C3" w:rsidP="00804FB1">
          <w:pPr>
            <w:spacing w:before="560" w:after="0"/>
            <w:jc w:val="center"/>
            <w:rPr>
              <w:b/>
              <w:sz w:val="28"/>
              <w:szCs w:val="28"/>
            </w:rPr>
          </w:pPr>
          <w:r w:rsidRPr="003F67C5">
            <w:rPr>
              <w:b/>
              <w:sz w:val="28"/>
              <w:szCs w:val="28"/>
            </w:rPr>
            <w:t>Arbeitssicherheit</w:t>
          </w:r>
        </w:p>
        <w:p w:rsidR="008357C3" w:rsidRPr="003F67C5" w:rsidRDefault="008357C3" w:rsidP="00804FB1">
          <w:pPr>
            <w:spacing w:before="120" w:after="120"/>
            <w:jc w:val="center"/>
            <w:rPr>
              <w:b/>
            </w:rPr>
          </w:pPr>
        </w:p>
      </w:tc>
      <w:tc>
        <w:tcPr>
          <w:tcW w:w="4962" w:type="dxa"/>
          <w:vAlign w:val="center"/>
        </w:tcPr>
        <w:p w:rsidR="008357C3" w:rsidRPr="008357C3" w:rsidRDefault="008357C3" w:rsidP="00804FB1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8357C3">
            <w:rPr>
              <w:rFonts w:cs="Arial"/>
              <w:bCs/>
              <w:i/>
              <w:szCs w:val="24"/>
            </w:rPr>
            <w:t>Ergänzungsbogen zur Gefährdungs</w:t>
          </w:r>
          <w:r>
            <w:rPr>
              <w:rFonts w:cs="Arial"/>
              <w:bCs/>
              <w:i/>
              <w:szCs w:val="24"/>
            </w:rPr>
            <w:t>-</w:t>
          </w:r>
          <w:r w:rsidRPr="008357C3">
            <w:rPr>
              <w:rFonts w:cs="Arial"/>
              <w:bCs/>
              <w:i/>
              <w:szCs w:val="24"/>
            </w:rPr>
            <w:t xml:space="preserve">beurteilung </w:t>
          </w:r>
        </w:p>
        <w:p w:rsidR="008357C3" w:rsidRPr="003F67C5" w:rsidRDefault="008357C3" w:rsidP="00804FB1">
          <w:pPr>
            <w:spacing w:before="120" w:after="120"/>
            <w:jc w:val="center"/>
            <w:rPr>
              <w:b/>
              <w:sz w:val="36"/>
              <w:szCs w:val="36"/>
            </w:rPr>
          </w:pPr>
          <w:r>
            <w:rPr>
              <w:rFonts w:cs="Arial"/>
              <w:b/>
              <w:bCs/>
              <w:sz w:val="36"/>
              <w:szCs w:val="36"/>
            </w:rPr>
            <w:t xml:space="preserve">Tätigkeiten mit </w:t>
          </w:r>
          <w:r w:rsidRPr="003F67C5">
            <w:rPr>
              <w:rFonts w:cs="Arial"/>
              <w:b/>
              <w:bCs/>
              <w:sz w:val="36"/>
              <w:szCs w:val="36"/>
            </w:rPr>
            <w:t>Gefahrstoffe</w:t>
          </w:r>
          <w:r>
            <w:rPr>
              <w:rFonts w:cs="Arial"/>
              <w:b/>
              <w:bCs/>
              <w:sz w:val="36"/>
              <w:szCs w:val="36"/>
            </w:rPr>
            <w:t>n</w:t>
          </w:r>
        </w:p>
      </w:tc>
      <w:tc>
        <w:tcPr>
          <w:tcW w:w="2835" w:type="dxa"/>
          <w:vAlign w:val="center"/>
        </w:tcPr>
        <w:p w:rsidR="008357C3" w:rsidRPr="00507979" w:rsidRDefault="00D00F6A" w:rsidP="00804FB1">
          <w:pPr>
            <w:spacing w:before="120" w:after="120"/>
            <w:rPr>
              <w:color w:val="FF0000"/>
              <w:highlight w:val="yellow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750695" cy="858520"/>
                <wp:effectExtent l="0" t="0" r="0" b="0"/>
                <wp:docPr id="1" name="Bild 1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69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0DD1" w:rsidRPr="009903B3" w:rsidRDefault="009903B3" w:rsidP="009903B3">
    <w:pPr>
      <w:pStyle w:val="Kopfzeile"/>
      <w:spacing w:after="0"/>
      <w:rPr>
        <w:sz w:val="20"/>
      </w:rPr>
    </w:pPr>
    <w:r>
      <w:rPr>
        <w:sz w:val="2"/>
        <w:szCs w:val="2"/>
      </w:rPr>
      <w:br/>
    </w:r>
    <w:r>
      <w:rPr>
        <w:sz w:val="2"/>
        <w:szCs w:val="2"/>
      </w:rPr>
      <w:br/>
    </w:r>
    <w:r>
      <w:rPr>
        <w:sz w:val="2"/>
        <w:szCs w:val="2"/>
      </w:rPr>
      <w:br/>
    </w:r>
    <w:r>
      <w:rPr>
        <w:sz w:val="2"/>
        <w:szCs w:val="2"/>
      </w:rPr>
      <w:br/>
    </w:r>
    <w:r>
      <w:rPr>
        <w:sz w:val="2"/>
        <w:szCs w:val="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56" w:type="dxa"/>
      <w:tblBorders>
        <w:top w:val="single" w:sz="36" w:space="0" w:color="00A9E0"/>
        <w:left w:val="single" w:sz="36" w:space="0" w:color="00A9E0"/>
        <w:bottom w:val="single" w:sz="36" w:space="0" w:color="00A9E0"/>
        <w:right w:val="single" w:sz="36" w:space="0" w:color="00A9E0"/>
        <w:insideH w:val="single" w:sz="6" w:space="0" w:color="00A9E0"/>
        <w:insideV w:val="single" w:sz="6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962"/>
      <w:gridCol w:w="2835"/>
    </w:tblGrid>
    <w:tr w:rsidR="009903B3" w:rsidTr="008357C3">
      <w:tblPrEx>
        <w:tblCellMar>
          <w:top w:w="0" w:type="dxa"/>
          <w:bottom w:w="0" w:type="dxa"/>
        </w:tblCellMar>
      </w:tblPrEx>
      <w:trPr>
        <w:trHeight w:val="1608"/>
      </w:trPr>
      <w:tc>
        <w:tcPr>
          <w:tcW w:w="2694" w:type="dxa"/>
          <w:vAlign w:val="center"/>
        </w:tcPr>
        <w:p w:rsidR="009903B3" w:rsidRPr="003F67C5" w:rsidRDefault="009903B3" w:rsidP="00974F48">
          <w:pPr>
            <w:spacing w:before="560" w:after="0"/>
            <w:jc w:val="center"/>
            <w:rPr>
              <w:b/>
              <w:sz w:val="28"/>
              <w:szCs w:val="28"/>
            </w:rPr>
          </w:pPr>
          <w:r w:rsidRPr="003F67C5">
            <w:rPr>
              <w:b/>
              <w:sz w:val="28"/>
              <w:szCs w:val="28"/>
            </w:rPr>
            <w:t>Arbeitssicherheit</w:t>
          </w:r>
        </w:p>
        <w:p w:rsidR="009903B3" w:rsidRPr="003F67C5" w:rsidRDefault="009903B3" w:rsidP="00974F48">
          <w:pPr>
            <w:spacing w:before="120" w:after="120"/>
            <w:jc w:val="center"/>
            <w:rPr>
              <w:b/>
            </w:rPr>
          </w:pPr>
        </w:p>
      </w:tc>
      <w:tc>
        <w:tcPr>
          <w:tcW w:w="4962" w:type="dxa"/>
          <w:vAlign w:val="center"/>
        </w:tcPr>
        <w:p w:rsidR="008357C3" w:rsidRPr="008357C3" w:rsidRDefault="008357C3" w:rsidP="008357C3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8357C3">
            <w:rPr>
              <w:rFonts w:cs="Arial"/>
              <w:bCs/>
              <w:i/>
              <w:szCs w:val="24"/>
            </w:rPr>
            <w:t>Ergänzungsbogen zur Gefährdungs</w:t>
          </w:r>
          <w:r>
            <w:rPr>
              <w:rFonts w:cs="Arial"/>
              <w:bCs/>
              <w:i/>
              <w:szCs w:val="24"/>
            </w:rPr>
            <w:t>-</w:t>
          </w:r>
          <w:r w:rsidRPr="008357C3">
            <w:rPr>
              <w:rFonts w:cs="Arial"/>
              <w:bCs/>
              <w:i/>
              <w:szCs w:val="24"/>
            </w:rPr>
            <w:t xml:space="preserve">beurteilung </w:t>
          </w:r>
        </w:p>
        <w:p w:rsidR="009903B3" w:rsidRPr="003F67C5" w:rsidRDefault="008357C3" w:rsidP="008357C3">
          <w:pPr>
            <w:spacing w:before="120" w:after="120"/>
            <w:jc w:val="center"/>
            <w:rPr>
              <w:b/>
              <w:sz w:val="36"/>
              <w:szCs w:val="36"/>
            </w:rPr>
          </w:pPr>
          <w:r>
            <w:rPr>
              <w:rFonts w:cs="Arial"/>
              <w:b/>
              <w:bCs/>
              <w:sz w:val="36"/>
              <w:szCs w:val="36"/>
            </w:rPr>
            <w:t xml:space="preserve">Tätigkeiten mit </w:t>
          </w:r>
          <w:r w:rsidR="009903B3" w:rsidRPr="003F67C5">
            <w:rPr>
              <w:rFonts w:cs="Arial"/>
              <w:b/>
              <w:bCs/>
              <w:sz w:val="36"/>
              <w:szCs w:val="36"/>
            </w:rPr>
            <w:t>Gefahrstoffe</w:t>
          </w:r>
          <w:r>
            <w:rPr>
              <w:rFonts w:cs="Arial"/>
              <w:b/>
              <w:bCs/>
              <w:sz w:val="36"/>
              <w:szCs w:val="36"/>
            </w:rPr>
            <w:t>n</w:t>
          </w:r>
        </w:p>
      </w:tc>
      <w:tc>
        <w:tcPr>
          <w:tcW w:w="2835" w:type="dxa"/>
          <w:vAlign w:val="center"/>
        </w:tcPr>
        <w:p w:rsidR="009903B3" w:rsidRPr="00507979" w:rsidRDefault="00D00F6A" w:rsidP="00974F48">
          <w:pPr>
            <w:spacing w:before="120" w:after="120"/>
            <w:rPr>
              <w:color w:val="FF0000"/>
              <w:highlight w:val="yellow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750695" cy="858520"/>
                <wp:effectExtent l="0" t="0" r="0" b="0"/>
                <wp:docPr id="2" name="Bild 2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69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3B3" w:rsidRPr="009903B3" w:rsidRDefault="009903B3" w:rsidP="009903B3">
    <w:pPr>
      <w:pStyle w:val="Kopfzeile"/>
      <w:spacing w:after="0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20" w:type="dxa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6E6E6"/>
      <w:tblLook w:val="01E0" w:firstRow="1" w:lastRow="1" w:firstColumn="1" w:lastColumn="1" w:noHBand="0" w:noVBand="0"/>
    </w:tblPr>
    <w:tblGrid>
      <w:gridCol w:w="15120"/>
    </w:tblGrid>
    <w:tr w:rsidR="00337216" w:rsidRPr="00052E21" w:rsidTr="00052E21">
      <w:tc>
        <w:tcPr>
          <w:tcW w:w="15120" w:type="dxa"/>
          <w:shd w:val="clear" w:color="auto" w:fill="E6E6E6"/>
        </w:tcPr>
        <w:p w:rsidR="00337216" w:rsidRPr="00052E21" w:rsidRDefault="00337216" w:rsidP="00052E21">
          <w:pPr>
            <w:spacing w:before="120" w:after="120"/>
            <w:rPr>
              <w:rFonts w:cs="Arial"/>
              <w:b/>
              <w:szCs w:val="24"/>
            </w:rPr>
          </w:pPr>
          <w:r w:rsidRPr="00052E21">
            <w:rPr>
              <w:b/>
            </w:rPr>
            <w:t>Gefährdungsbeurteilung:</w:t>
          </w:r>
          <w:r w:rsidR="0058362B">
            <w:rPr>
              <w:b/>
            </w:rPr>
            <w:t xml:space="preserve"> Tätigkeiten mit Gefahrstoffen</w:t>
          </w:r>
        </w:p>
      </w:tc>
    </w:tr>
  </w:tbl>
  <w:p w:rsidR="00337216" w:rsidRDefault="0033721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8C4"/>
    <w:multiLevelType w:val="multilevel"/>
    <w:tmpl w:val="8EC80C2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13B1A07"/>
    <w:multiLevelType w:val="multilevel"/>
    <w:tmpl w:val="8EC80C2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B826678"/>
    <w:multiLevelType w:val="multilevel"/>
    <w:tmpl w:val="9970FA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025739"/>
    <w:multiLevelType w:val="hybridMultilevel"/>
    <w:tmpl w:val="62420A04"/>
    <w:lvl w:ilvl="0" w:tplc="57D02F8C">
      <w:start w:val="1"/>
      <w:numFmt w:val="bullet"/>
      <w:pStyle w:val="Aufzhlung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F4227"/>
    <w:multiLevelType w:val="multilevel"/>
    <w:tmpl w:val="9970FA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51368FB"/>
    <w:multiLevelType w:val="multilevel"/>
    <w:tmpl w:val="8EC80C2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7E32FFF"/>
    <w:multiLevelType w:val="multilevel"/>
    <w:tmpl w:val="824282C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8817603"/>
    <w:multiLevelType w:val="multilevel"/>
    <w:tmpl w:val="8EC80C2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0DD1696"/>
    <w:multiLevelType w:val="hybridMultilevel"/>
    <w:tmpl w:val="D6B476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64FF3"/>
    <w:multiLevelType w:val="multilevel"/>
    <w:tmpl w:val="C6147C9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0C953B9"/>
    <w:multiLevelType w:val="multilevel"/>
    <w:tmpl w:val="8EC80C2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F7C3909"/>
    <w:multiLevelType w:val="multilevel"/>
    <w:tmpl w:val="8EC80C2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1D"/>
    <w:rsid w:val="000132C0"/>
    <w:rsid w:val="00052E21"/>
    <w:rsid w:val="00074104"/>
    <w:rsid w:val="000840DF"/>
    <w:rsid w:val="000B540F"/>
    <w:rsid w:val="000D3B50"/>
    <w:rsid w:val="000E4B1D"/>
    <w:rsid w:val="0016410B"/>
    <w:rsid w:val="001835A2"/>
    <w:rsid w:val="001F1EAD"/>
    <w:rsid w:val="00272E73"/>
    <w:rsid w:val="00273A65"/>
    <w:rsid w:val="002B0E23"/>
    <w:rsid w:val="002D3622"/>
    <w:rsid w:val="00337216"/>
    <w:rsid w:val="00350E32"/>
    <w:rsid w:val="00360CB1"/>
    <w:rsid w:val="003672B8"/>
    <w:rsid w:val="0037740B"/>
    <w:rsid w:val="00380E9F"/>
    <w:rsid w:val="003F2E0F"/>
    <w:rsid w:val="003F67C5"/>
    <w:rsid w:val="00444E68"/>
    <w:rsid w:val="00475996"/>
    <w:rsid w:val="004B3F9D"/>
    <w:rsid w:val="004C1806"/>
    <w:rsid w:val="004E52A4"/>
    <w:rsid w:val="00523A55"/>
    <w:rsid w:val="005313E1"/>
    <w:rsid w:val="005469D2"/>
    <w:rsid w:val="00561CE2"/>
    <w:rsid w:val="0058362B"/>
    <w:rsid w:val="00585C59"/>
    <w:rsid w:val="00586CF3"/>
    <w:rsid w:val="00590DC1"/>
    <w:rsid w:val="005C375D"/>
    <w:rsid w:val="005D0D33"/>
    <w:rsid w:val="006143B8"/>
    <w:rsid w:val="00671718"/>
    <w:rsid w:val="006873A4"/>
    <w:rsid w:val="00692F78"/>
    <w:rsid w:val="006B2D18"/>
    <w:rsid w:val="0078750F"/>
    <w:rsid w:val="007B7908"/>
    <w:rsid w:val="0080399D"/>
    <w:rsid w:val="00804FB1"/>
    <w:rsid w:val="00823307"/>
    <w:rsid w:val="008357C3"/>
    <w:rsid w:val="00895BB8"/>
    <w:rsid w:val="009723CC"/>
    <w:rsid w:val="00974F48"/>
    <w:rsid w:val="009903B3"/>
    <w:rsid w:val="009A1C7A"/>
    <w:rsid w:val="009A63E4"/>
    <w:rsid w:val="009E6FBC"/>
    <w:rsid w:val="00A0160B"/>
    <w:rsid w:val="00A2188A"/>
    <w:rsid w:val="00A6561D"/>
    <w:rsid w:val="00A87EA1"/>
    <w:rsid w:val="00BA1C98"/>
    <w:rsid w:val="00C72FF1"/>
    <w:rsid w:val="00CE3A5C"/>
    <w:rsid w:val="00D00F6A"/>
    <w:rsid w:val="00D231B1"/>
    <w:rsid w:val="00D428B6"/>
    <w:rsid w:val="00E22B62"/>
    <w:rsid w:val="00E87AC1"/>
    <w:rsid w:val="00EB61EA"/>
    <w:rsid w:val="00F034DC"/>
    <w:rsid w:val="00F45C21"/>
    <w:rsid w:val="00F6755A"/>
    <w:rsid w:val="00F70DD1"/>
    <w:rsid w:val="00F77145"/>
    <w:rsid w:val="00F93F12"/>
    <w:rsid w:val="00F96C8D"/>
    <w:rsid w:val="00FE3395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723CC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672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autoRedefine/>
    <w:qFormat/>
    <w:rsid w:val="00F70DD1"/>
    <w:pPr>
      <w:keepNext/>
      <w:tabs>
        <w:tab w:val="num" w:pos="720"/>
      </w:tabs>
      <w:spacing w:before="60" w:after="60"/>
      <w:ind w:left="720" w:hanging="720"/>
      <w:outlineLvl w:val="2"/>
    </w:pPr>
    <w:rPr>
      <w:rFonts w:cs="Arial"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6410B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F2E0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F2E0F"/>
  </w:style>
  <w:style w:type="character" w:styleId="Hyperlink">
    <w:name w:val="Hyperlink"/>
    <w:rsid w:val="003672B8"/>
    <w:rPr>
      <w:color w:val="0000FF"/>
      <w:u w:val="single"/>
    </w:rPr>
  </w:style>
  <w:style w:type="paragraph" w:styleId="Textkrper">
    <w:name w:val="Body Text"/>
    <w:basedOn w:val="Standard"/>
    <w:rsid w:val="003672B8"/>
    <w:pPr>
      <w:spacing w:before="240" w:after="120"/>
      <w:jc w:val="center"/>
    </w:pPr>
    <w:rPr>
      <w:rFonts w:ascii="Times New Roman" w:hAnsi="Times New Roman"/>
      <w:sz w:val="18"/>
    </w:rPr>
  </w:style>
  <w:style w:type="paragraph" w:customStyle="1" w:styleId="U1">
    <w:name w:val="U1"/>
    <w:basedOn w:val="Standard"/>
    <w:rsid w:val="003672B8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3672B8"/>
    <w:pPr>
      <w:numPr>
        <w:numId w:val="6"/>
      </w:numPr>
      <w:spacing w:after="0"/>
    </w:pPr>
    <w:rPr>
      <w:rFonts w:ascii="Times New Roman" w:hAnsi="Times New Roman"/>
    </w:rPr>
  </w:style>
  <w:style w:type="paragraph" w:styleId="Kopfzeile">
    <w:name w:val="header"/>
    <w:basedOn w:val="Standard"/>
    <w:rsid w:val="003672B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00F6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00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723CC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672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autoRedefine/>
    <w:qFormat/>
    <w:rsid w:val="00F70DD1"/>
    <w:pPr>
      <w:keepNext/>
      <w:tabs>
        <w:tab w:val="num" w:pos="720"/>
      </w:tabs>
      <w:spacing w:before="60" w:after="60"/>
      <w:ind w:left="720" w:hanging="720"/>
      <w:outlineLvl w:val="2"/>
    </w:pPr>
    <w:rPr>
      <w:rFonts w:cs="Arial"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6410B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F2E0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F2E0F"/>
  </w:style>
  <w:style w:type="character" w:styleId="Hyperlink">
    <w:name w:val="Hyperlink"/>
    <w:rsid w:val="003672B8"/>
    <w:rPr>
      <w:color w:val="0000FF"/>
      <w:u w:val="single"/>
    </w:rPr>
  </w:style>
  <w:style w:type="paragraph" w:styleId="Textkrper">
    <w:name w:val="Body Text"/>
    <w:basedOn w:val="Standard"/>
    <w:rsid w:val="003672B8"/>
    <w:pPr>
      <w:spacing w:before="240" w:after="120"/>
      <w:jc w:val="center"/>
    </w:pPr>
    <w:rPr>
      <w:rFonts w:ascii="Times New Roman" w:hAnsi="Times New Roman"/>
      <w:sz w:val="18"/>
    </w:rPr>
  </w:style>
  <w:style w:type="paragraph" w:customStyle="1" w:styleId="U1">
    <w:name w:val="U1"/>
    <w:basedOn w:val="Standard"/>
    <w:rsid w:val="003672B8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3672B8"/>
    <w:pPr>
      <w:numPr>
        <w:numId w:val="6"/>
      </w:numPr>
      <w:spacing w:after="0"/>
    </w:pPr>
    <w:rPr>
      <w:rFonts w:ascii="Times New Roman" w:hAnsi="Times New Roman"/>
    </w:rPr>
  </w:style>
  <w:style w:type="paragraph" w:styleId="Kopfzeile">
    <w:name w:val="header"/>
    <w:basedOn w:val="Standard"/>
    <w:rsid w:val="003672B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00F6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00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1277</Words>
  <Characters>10582</Characters>
  <Application>Microsoft Office Word</Application>
  <DocSecurity>0</DocSecurity>
  <Lines>88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KONSTANZ</Company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Hellstern</dc:creator>
  <cp:lastModifiedBy>Kai.Schwarz</cp:lastModifiedBy>
  <cp:revision>3</cp:revision>
  <dcterms:created xsi:type="dcterms:W3CDTF">2021-04-30T11:36:00Z</dcterms:created>
  <dcterms:modified xsi:type="dcterms:W3CDTF">2021-04-30T11:36:00Z</dcterms:modified>
</cp:coreProperties>
</file>