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60"/>
        <w:gridCol w:w="482"/>
        <w:gridCol w:w="482"/>
        <w:gridCol w:w="8528"/>
      </w:tblGrid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65B59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F65B59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E6E6E6"/>
          </w:tcPr>
          <w:p w:rsidR="005C37E4" w:rsidRPr="00F65B59" w:rsidRDefault="005C37E4" w:rsidP="00F65B59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F65B59">
              <w:rPr>
                <w:rFonts w:cs="Arial"/>
                <w:b/>
                <w:szCs w:val="24"/>
              </w:rPr>
              <w:t>Allgemeines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B354BA" w:rsidRPr="006D4CA4" w:rsidRDefault="002867A6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B354BA" w:rsidRPr="006D4CA4" w:rsidRDefault="002867A6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B354BA" w:rsidRPr="006D4CA4" w:rsidRDefault="002867A6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B354BA" w:rsidRPr="00F65B59" w:rsidRDefault="00B354BA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Es werden die Vorgaben und Sicherheitshinweise der Hersteller beachtet. Die Bedienungsanleitung wird für alle Mitarbeiter gut zugänglich aufbewahrt.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1E302E" w:rsidRPr="006D4CA4" w:rsidRDefault="001E302E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1E302E" w:rsidRPr="006D4CA4" w:rsidRDefault="001E302E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1E302E" w:rsidRPr="006D4CA4" w:rsidRDefault="001E302E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1E302E" w:rsidRPr="00F65B59" w:rsidRDefault="001E302E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Alle an Aufbauten verwendeten Schläuche sind mit Schlauchsicherungen versehen.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426E3D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426E3D" w:rsidRPr="006D4CA4" w:rsidRDefault="00540012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426E3D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426E3D" w:rsidRPr="00F65B59" w:rsidRDefault="00426E3D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Beschädigte Glasgeräte werden entsorgt oder spitze Kanten glatt geschmolzen</w:t>
            </w:r>
            <w:r w:rsidR="00E51811" w:rsidRPr="00F65B59">
              <w:rPr>
                <w:rFonts w:cs="Arial"/>
                <w:sz w:val="22"/>
                <w:szCs w:val="22"/>
              </w:rPr>
              <w:t>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E51811" w:rsidRPr="006D4CA4" w:rsidRDefault="00E51811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E51811" w:rsidRPr="00F65B59" w:rsidRDefault="00E51811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Für Glasscherben oder eingesetzte Kanülen sind durchstichsichere Behältnisse verhanden.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426E3D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426E3D" w:rsidRPr="006D4CA4" w:rsidRDefault="00540012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426E3D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426E3D" w:rsidRPr="00F65B59" w:rsidRDefault="00426E3D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 xml:space="preserve">Arbeitsmittel, Geräte und Behälter werden </w:t>
            </w:r>
            <w:r w:rsidR="00B354BA" w:rsidRPr="00F65B59">
              <w:rPr>
                <w:rFonts w:cs="Arial"/>
                <w:sz w:val="22"/>
                <w:szCs w:val="22"/>
              </w:rPr>
              <w:t>nach Gebrauch gereinigt und</w:t>
            </w:r>
            <w:r w:rsidRPr="00F65B59">
              <w:rPr>
                <w:rFonts w:cs="Arial"/>
                <w:sz w:val="22"/>
                <w:szCs w:val="22"/>
              </w:rPr>
              <w:t xml:space="preserve"> sauber gehalten</w:t>
            </w:r>
            <w:r w:rsidR="003B38C1" w:rsidRPr="00F65B59">
              <w:rPr>
                <w:rFonts w:cs="Arial"/>
                <w:sz w:val="22"/>
                <w:szCs w:val="22"/>
              </w:rPr>
              <w:t>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E51811" w:rsidRPr="006D4CA4" w:rsidRDefault="00E51811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E51811" w:rsidRPr="00F65B59" w:rsidRDefault="00E51811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Es wird darauf geachtet, dass Glasgeräte vor Abgabe in die Spülküche frei von Chemikalien sind.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E51811" w:rsidRPr="006D4CA4" w:rsidRDefault="00E51811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E51811" w:rsidRPr="006D4CA4" w:rsidRDefault="00E51811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E51811" w:rsidRPr="00F65B59" w:rsidRDefault="00E51811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Es wird darauf geachtet, dass Geräte, die in die Werkstatt zur Reparatur gegeben werden</w:t>
            </w:r>
            <w:r w:rsidR="004D0FA0" w:rsidRPr="00F65B59">
              <w:rPr>
                <w:rFonts w:cs="Arial"/>
                <w:sz w:val="22"/>
                <w:szCs w:val="22"/>
              </w:rPr>
              <w:t>,</w:t>
            </w:r>
            <w:r w:rsidRPr="00F65B59">
              <w:rPr>
                <w:rFonts w:cs="Arial"/>
                <w:sz w:val="22"/>
                <w:szCs w:val="22"/>
              </w:rPr>
              <w:t xml:space="preserve"> nicht mit Gefahrstoffen kontaminiert sind</w:t>
            </w:r>
          </w:p>
        </w:tc>
      </w:tr>
    </w:tbl>
    <w:p w:rsidR="0031246B" w:rsidRPr="0031246B" w:rsidRDefault="0031246B" w:rsidP="0031246B">
      <w:pPr>
        <w:spacing w:after="0"/>
        <w:rPr>
          <w:vanish/>
        </w:rPr>
      </w:pPr>
    </w:p>
    <w:tbl>
      <w:tblPr>
        <w:tblW w:w="101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22"/>
        <w:gridCol w:w="481"/>
        <w:gridCol w:w="481"/>
        <w:gridCol w:w="8518"/>
        <w:gridCol w:w="12"/>
      </w:tblGrid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31246B">
              <w:rPr>
                <w:rFonts w:cs="Arial"/>
                <w:sz w:val="22"/>
                <w:szCs w:val="22"/>
              </w:rPr>
              <w:t>Unbeaufsichtigte Experimente sind ausreichend abgesichert bzw. werden im Nachtlabor durchgeführt.</w:t>
            </w:r>
            <w:r w:rsidRPr="0031246B">
              <w:rPr>
                <w:rFonts w:cs="Arial"/>
                <w:szCs w:val="24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(Absicherung der Medien, z.B. Kühlwasser)</w:t>
            </w:r>
          </w:p>
        </w:tc>
      </w:tr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Es werden die Regelungen für die Nachtlabore beachtet (automatische CO2-Löschanlage)</w:t>
            </w:r>
          </w:p>
        </w:tc>
      </w:tr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31246B">
              <w:rPr>
                <w:rFonts w:cs="Arial"/>
                <w:sz w:val="22"/>
                <w:szCs w:val="22"/>
              </w:rPr>
              <w:t>Gefahrstoffemissionen aus Anlagen und Geräten (z.B. aus Wärmeöfen, AAS, Versuchsanlagen, Abblasöffnungen) werden abgesaugt und gefahrlos entweder ins Freie oder über Abzüge abgeleitet</w:t>
            </w:r>
            <w:r w:rsidRPr="0031246B">
              <w:rPr>
                <w:rFonts w:cs="Arial"/>
                <w:szCs w:val="24"/>
              </w:rPr>
              <w:t>.</w:t>
            </w:r>
            <w:r w:rsidRPr="0031246B">
              <w:rPr>
                <w:rFonts w:cs="Arial"/>
                <w:szCs w:val="24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(ggf. werden diese Geräte in den Abzügen betrieben)</w:t>
            </w:r>
          </w:p>
        </w:tc>
      </w:tr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Im Falle von Alleinarbeit ist die Überwachung so geregelt, dass im Gefahrfall eine ausreichend schnelle Hilfe sichergestellt ist.</w:t>
            </w:r>
          </w:p>
        </w:tc>
      </w:tr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31246B">
              <w:rPr>
                <w:rFonts w:cs="Arial"/>
                <w:sz w:val="22"/>
                <w:szCs w:val="22"/>
              </w:rPr>
              <w:t>Arbeitsplätze werden regelmäßig aufgeräumt und gereinigt</w:t>
            </w:r>
            <w:r w:rsidRPr="0031246B">
              <w:rPr>
                <w:rFonts w:cs="Arial"/>
                <w:szCs w:val="24"/>
              </w:rPr>
              <w:t>.</w:t>
            </w:r>
          </w:p>
        </w:tc>
      </w:tr>
      <w:tr w:rsidR="00DE7B9A" w:rsidRPr="0031246B" w:rsidTr="0028685E">
        <w:trPr>
          <w:cantSplit/>
          <w:trHeight w:val="386"/>
        </w:trPr>
        <w:tc>
          <w:tcPr>
            <w:tcW w:w="622" w:type="dxa"/>
            <w:tcBorders>
              <w:right w:val="nil"/>
            </w:tcBorders>
            <w:shd w:val="clear" w:color="auto" w:fill="E6E6E6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31246B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31246B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31246B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31246B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DE7B9A" w:rsidRPr="0031246B" w:rsidRDefault="00DE7B9A" w:rsidP="0031246B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31246B">
              <w:rPr>
                <w:rFonts w:cs="Arial"/>
                <w:b/>
                <w:szCs w:val="24"/>
              </w:rPr>
              <w:t>Unterdruck, Vakuum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Glasgefäße werden vor dem Evakuieren auf sichtbare Beschädigungen überprüft und ggf. aus dem Verkehr gezogen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31246B">
              <w:rPr>
                <w:rFonts w:cs="Arial"/>
                <w:sz w:val="22"/>
                <w:szCs w:val="22"/>
              </w:rPr>
              <w:t>Für Vakuumanlagen sind Maßnahmen zum Schutz vor Splitter infolge Implosion getroffen</w:t>
            </w:r>
            <w:r w:rsidRPr="0031246B">
              <w:rPr>
                <w:rFonts w:cs="Arial"/>
                <w:sz w:val="22"/>
                <w:szCs w:val="22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(Rotationsverdampfer stehen z.B. hinter einem Schutzscheibe oder –vorhang; Exikkatoren sind mit Folie beklebt))</w:t>
            </w:r>
            <w:r w:rsidRPr="0031246B">
              <w:rPr>
                <w:rFonts w:cs="Arial"/>
                <w:szCs w:val="24"/>
              </w:rPr>
              <w:t xml:space="preserve"> 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E0E0E0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31246B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0E0E0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31246B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0E0E0"/>
          </w:tcPr>
          <w:p w:rsidR="00DE7B9A" w:rsidRPr="0031246B" w:rsidRDefault="00DE7B9A" w:rsidP="0031246B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31246B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31246B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DE7B9A" w:rsidRPr="0031246B" w:rsidRDefault="00DE7B9A" w:rsidP="0031246B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31246B">
              <w:rPr>
                <w:rFonts w:cs="Arial"/>
                <w:b/>
                <w:szCs w:val="24"/>
              </w:rPr>
              <w:t xml:space="preserve">Arbeiten mit tiefkalt </w:t>
            </w:r>
            <w:proofErr w:type="gramStart"/>
            <w:r w:rsidRPr="0031246B">
              <w:rPr>
                <w:rFonts w:cs="Arial"/>
                <w:b/>
                <w:szCs w:val="24"/>
              </w:rPr>
              <w:t>verflüssigten Gase</w:t>
            </w:r>
            <w:proofErr w:type="gramEnd"/>
            <w:r w:rsidRPr="0031246B">
              <w:rPr>
                <w:rFonts w:cs="Arial"/>
                <w:b/>
                <w:szCs w:val="24"/>
              </w:rPr>
              <w:t xml:space="preserve"> (Flüssig-Stickstoff, Flüssig-Helium etc.)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Eine Betriebsanweisung „Tätigkeiten mit tiefkalten Flüssigkeiten“ liegt vor.</w:t>
            </w:r>
            <w:r w:rsidRPr="0031246B">
              <w:rPr>
                <w:rFonts w:cs="Arial"/>
                <w:sz w:val="22"/>
                <w:szCs w:val="22"/>
              </w:rPr>
              <w:br/>
            </w:r>
            <w:r w:rsidRPr="0031246B">
              <w:rPr>
                <w:rFonts w:cs="Arial"/>
                <w:color w:val="0000FF"/>
                <w:sz w:val="22"/>
                <w:szCs w:val="22"/>
              </w:rPr>
              <w:t>(Eine Musterbetriebsanweisung befindet sich auf den Internetseiten der arbeitssicherheit)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31246B">
              <w:rPr>
                <w:rFonts w:cs="Arial"/>
                <w:sz w:val="22"/>
                <w:szCs w:val="22"/>
              </w:rPr>
              <w:t>Bei Arbeiten mit tiefkalten Flüssigkeiten wird entsprechend den Arbeiten die notwendige Schutzausrüstung getragen.</w:t>
            </w:r>
            <w:r w:rsidRPr="0031246B">
              <w:rPr>
                <w:rFonts w:cs="Arial"/>
                <w:sz w:val="22"/>
                <w:szCs w:val="22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(z.B. kann bei Umfüllarbeiten auch ein Gesichtsschutzschild notwendig sein; für einen direkten Kontakt sind spezielle Kryohandschuhe vorzusehen)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Tiefkalt verflüssigte Gase werden nur in gut belüfteten Räumen umgefüllt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In Räumen, in denen beim Umgang mit tiefkaltem Stickstoff, Helium oder bei CO2-Kühlung Sauerstoffmangel auftreten kann, sind Schutzmaßnahmen ergriffen (z.B. Alarmsignale bei Sauerstoffmangel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Versprödete Gummidichtungen an Dewars (zwischen Isolierbehälter und Umhüllung) werden sofort ausgetauscht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Behälter mit tiefkalt verflüssigten Gasen werden grundsätzlich nicht zusammen mit Personen in Fahrstühlen transportiert. Es muss immer der Lastenaufzug für den Transport benutzt werden.</w:t>
            </w:r>
          </w:p>
        </w:tc>
      </w:tr>
      <w:tr w:rsidR="00DE7B9A" w:rsidRPr="0031246B" w:rsidTr="0028685E">
        <w:trPr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31246B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31246B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Es wird darauf geachtet, dass die Verweilzeit in offenen Dewargefäßen begrenzt wird.</w:t>
            </w:r>
            <w:r w:rsidRPr="0031246B">
              <w:rPr>
                <w:rFonts w:cs="Arial"/>
                <w:sz w:val="22"/>
                <w:szCs w:val="22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(Vermeidung des Einkondensierens von Luftsauerstoff)</w:t>
            </w:r>
            <w:r w:rsidRPr="0031246B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DE7B9A" w:rsidRPr="0031246B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Pr="006D4CA4" w:rsidRDefault="00DE7B9A" w:rsidP="0031246B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Pr="006D4CA4" w:rsidRDefault="00DE7B9A" w:rsidP="0031246B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31246B" w:rsidRDefault="00DE7B9A" w:rsidP="0031246B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31246B">
              <w:rPr>
                <w:rFonts w:cs="Arial"/>
                <w:sz w:val="22"/>
                <w:szCs w:val="22"/>
              </w:rPr>
              <w:t>Destillationsapparaturen werden abgesichert.</w:t>
            </w:r>
            <w:r w:rsidRPr="0031246B">
              <w:rPr>
                <w:rFonts w:cs="Arial"/>
                <w:sz w:val="22"/>
                <w:szCs w:val="22"/>
              </w:rPr>
              <w:br/>
            </w:r>
            <w:r w:rsidRPr="0031246B">
              <w:rPr>
                <w:rFonts w:cs="Arial"/>
                <w:i/>
                <w:sz w:val="22"/>
                <w:szCs w:val="22"/>
              </w:rPr>
              <w:t>(Schutz vor Explosionen (Splitterschutz oder Abzug); Abführung der entweichenden Gase; Überwachung der Destillation mit entsprechenden Destillationskontrollern; Aufstellung auf Brandschutzwannen).</w:t>
            </w:r>
          </w:p>
        </w:tc>
      </w:tr>
      <w:tr w:rsidR="00E81CF0" w:rsidRPr="00F65B59" w:rsidTr="0028685E">
        <w:trPr>
          <w:gridAfter w:val="1"/>
          <w:wAfter w:w="12" w:type="dxa"/>
          <w:cantSplit/>
        </w:trPr>
        <w:tc>
          <w:tcPr>
            <w:tcW w:w="622" w:type="dxa"/>
            <w:tcBorders>
              <w:right w:val="nil"/>
            </w:tcBorders>
            <w:shd w:val="clear" w:color="auto" w:fill="auto"/>
          </w:tcPr>
          <w:p w:rsidR="00FF60C5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FF60C5" w:rsidRPr="006D4CA4" w:rsidRDefault="00540012" w:rsidP="00F65B59">
            <w:pPr>
              <w:spacing w:before="120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FF60C5" w:rsidRPr="006D4CA4" w:rsidRDefault="00540012" w:rsidP="00F65B59">
            <w:pPr>
              <w:spacing w:before="120" w:after="120"/>
              <w:ind w:left="-130"/>
              <w:jc w:val="center"/>
            </w:pPr>
            <w:r w:rsidRPr="006D4CA4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CA4">
              <w:instrText xml:space="preserve"> FORMCHECKBOX </w:instrText>
            </w:r>
            <w:r w:rsidRPr="006D4CA4"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FF60C5" w:rsidRPr="00F65B59" w:rsidRDefault="00FF60C5" w:rsidP="00F65B59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Mängel an</w:t>
            </w:r>
            <w:bookmarkStart w:id="0" w:name="_GoBack"/>
            <w:bookmarkEnd w:id="0"/>
            <w:r w:rsidRPr="00F65B59">
              <w:rPr>
                <w:rFonts w:cs="Arial"/>
                <w:sz w:val="22"/>
                <w:szCs w:val="22"/>
              </w:rPr>
              <w:t xml:space="preserve"> sicherheitstechnischen Einrichtungen werden unverzüglich beseitigt bzw. an die zuständigen Stellen gemeldet.</w:t>
            </w:r>
          </w:p>
        </w:tc>
      </w:tr>
    </w:tbl>
    <w:p w:rsidR="0028685E" w:rsidRDefault="0028685E">
      <w:r>
        <w:br w:type="page"/>
      </w:r>
    </w:p>
    <w:tbl>
      <w:tblPr>
        <w:tblW w:w="101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60"/>
        <w:gridCol w:w="481"/>
        <w:gridCol w:w="481"/>
        <w:gridCol w:w="8518"/>
        <w:gridCol w:w="12"/>
      </w:tblGrid>
      <w:tr w:rsidR="00E81CF0" w:rsidRPr="00F65B59" w:rsidTr="00F65B59">
        <w:trPr>
          <w:cantSplit/>
          <w:trHeight w:val="386"/>
        </w:trPr>
        <w:tc>
          <w:tcPr>
            <w:tcW w:w="660" w:type="dxa"/>
            <w:tcBorders>
              <w:right w:val="nil"/>
            </w:tcBorders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lastRenderedPageBreak/>
              <w:t>n. z.</w:t>
            </w:r>
          </w:p>
        </w:tc>
        <w:tc>
          <w:tcPr>
            <w:tcW w:w="481" w:type="dxa"/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65B59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F65B59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5C37E4" w:rsidRPr="00F65B59" w:rsidRDefault="005C37E4" w:rsidP="00F65B59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F65B59">
              <w:rPr>
                <w:rFonts w:cs="Arial"/>
                <w:b/>
                <w:szCs w:val="24"/>
              </w:rPr>
              <w:t>Autoklaven und Zentrifugen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Für den Umgang mit Zentrifugen und Autoklaven werden spezielle Betriebsanweisungen erstellt und beachtet.</w:t>
            </w:r>
            <w:r w:rsidR="00B354BA" w:rsidRPr="00F65B59">
              <w:rPr>
                <w:rFonts w:cs="Arial"/>
                <w:sz w:val="22"/>
                <w:szCs w:val="22"/>
              </w:rPr>
              <w:br/>
            </w:r>
            <w:r w:rsidR="00B354BA" w:rsidRPr="00F65B59">
              <w:rPr>
                <w:rFonts w:cs="Arial"/>
                <w:color w:val="0000FF"/>
                <w:sz w:val="22"/>
                <w:szCs w:val="22"/>
              </w:rPr>
              <w:t>(Musterbetriebsanweisungen auf den Internetseiten der Arbeitssicherheit)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Autoklaven werden regelmäßig überprüft</w:t>
            </w:r>
            <w:r w:rsidRPr="00F65B59">
              <w:rPr>
                <w:rFonts w:cs="Arial"/>
                <w:sz w:val="22"/>
                <w:szCs w:val="22"/>
              </w:rPr>
              <w:br/>
            </w:r>
            <w:r w:rsidRPr="00F65B59">
              <w:rPr>
                <w:rFonts w:cs="Arial"/>
                <w:i/>
                <w:sz w:val="20"/>
              </w:rPr>
              <w:t>(Hierzu sin</w:t>
            </w:r>
            <w:r w:rsidR="00387076" w:rsidRPr="00F65B59">
              <w:rPr>
                <w:rFonts w:cs="Arial"/>
                <w:i/>
                <w:sz w:val="20"/>
              </w:rPr>
              <w:t>d die Herstellerangaben in den B</w:t>
            </w:r>
            <w:r w:rsidRPr="00F65B59">
              <w:rPr>
                <w:rFonts w:cs="Arial"/>
                <w:i/>
                <w:sz w:val="20"/>
              </w:rPr>
              <w:t>edienungsanleitungen zu beachten)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387076" w:rsidRDefault="00387076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387076" w:rsidRPr="00B00CB8" w:rsidRDefault="00387076" w:rsidP="00F65B59">
            <w:pPr>
              <w:spacing w:before="120"/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387076" w:rsidRDefault="00387076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076" w:rsidRPr="00F65B59" w:rsidRDefault="00387076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Versuchsautoklaven werden hinter Schutzwand betrieben oder in einem speziellen Schutzraum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Die Anzeigengeräte, Sicherheitsventile und Warneinrichtungen werden vor jedem Einsatz überprüft</w:t>
            </w:r>
            <w:r w:rsidR="00387076" w:rsidRPr="00F65B59">
              <w:rPr>
                <w:rFonts w:cs="Arial"/>
                <w:sz w:val="22"/>
                <w:szCs w:val="22"/>
              </w:rPr>
              <w:t>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Beim Sterilisieren von Flüssigkeiten werden Autoklaven mit thermisch gesteuerter Deckenverriegelung eingesetzt</w:t>
            </w:r>
            <w:r w:rsidR="00387076" w:rsidRPr="00F65B59">
              <w:rPr>
                <w:rFonts w:cs="Arial"/>
                <w:sz w:val="22"/>
                <w:szCs w:val="22"/>
              </w:rPr>
              <w:br/>
            </w:r>
            <w:r w:rsidR="00387076" w:rsidRPr="00F65B59">
              <w:rPr>
                <w:rFonts w:cs="Arial"/>
                <w:i/>
                <w:sz w:val="20"/>
              </w:rPr>
              <w:t>(Öffnen des Autoklaven erst bei T &lt; 80°C möglich)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Die wiederkehrenden Überprüfungen von Zentrifugen werden in Abhängigkeit von Zentrifugenart (z.B. Ultrazentrifuge), kinetischer Energie und Leistungsaufnahme gemäß UVV GUV 3.16 durchgeführt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271A3F" w:rsidRDefault="00271A3F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271A3F" w:rsidRDefault="00271A3F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71A3F" w:rsidRPr="00F65B59" w:rsidRDefault="00271A3F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Zum Betrieb von Ultrazentrifugen wird ein Betriebsbuch vorgehalten, eingewiesene Personen namentlich benannt und die Wartung / wiederkehrende Überprüfung durch eine befähigte Person (zugelassene Überwachungsstelle) durchgeführt.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65B59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F65B59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5C37E4" w:rsidRPr="00F65B59" w:rsidRDefault="005C37E4" w:rsidP="00F65B59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F65B59">
              <w:rPr>
                <w:rFonts w:cs="Arial"/>
                <w:b/>
                <w:szCs w:val="24"/>
              </w:rPr>
              <w:t>Kühlgeräte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6B2486" w:rsidRDefault="00540012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B2486" w:rsidRPr="00B00CB8" w:rsidRDefault="00540012" w:rsidP="00F65B59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B2486" w:rsidRDefault="00540012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B2486" w:rsidRPr="00F65B59" w:rsidRDefault="006B2486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 xml:space="preserve">Kühlschränke zur Aufbewahrung </w:t>
            </w:r>
            <w:r w:rsidR="00FF60C5" w:rsidRPr="00F65B59">
              <w:rPr>
                <w:rFonts w:cs="Arial"/>
                <w:sz w:val="22"/>
                <w:szCs w:val="22"/>
              </w:rPr>
              <w:t xml:space="preserve">von </w:t>
            </w:r>
            <w:proofErr w:type="gramStart"/>
            <w:r w:rsidRPr="00F65B59">
              <w:rPr>
                <w:rFonts w:cs="Arial"/>
                <w:sz w:val="22"/>
                <w:szCs w:val="22"/>
              </w:rPr>
              <w:t>brennbarer</w:t>
            </w:r>
            <w:proofErr w:type="gramEnd"/>
            <w:r w:rsidRPr="00F65B59">
              <w:rPr>
                <w:rFonts w:cs="Arial"/>
                <w:sz w:val="22"/>
                <w:szCs w:val="22"/>
              </w:rPr>
              <w:t xml:space="preserve"> Flüssigkeiten </w:t>
            </w:r>
            <w:r w:rsidR="00FF60C5" w:rsidRPr="00F65B59">
              <w:rPr>
                <w:rFonts w:cs="Arial"/>
                <w:sz w:val="22"/>
                <w:szCs w:val="22"/>
              </w:rPr>
              <w:t xml:space="preserve">oder sonstiger Stoffe, die zu einer gefährlichen explosionsfähigen Atmosphäre führen können, </w:t>
            </w:r>
            <w:r w:rsidRPr="00F65B59">
              <w:rPr>
                <w:rFonts w:cs="Arial"/>
                <w:sz w:val="22"/>
                <w:szCs w:val="22"/>
              </w:rPr>
              <w:t>müssen frei von Zündquellen sein</w:t>
            </w:r>
            <w:r w:rsidR="000F0876" w:rsidRPr="00F65B59">
              <w:rPr>
                <w:rFonts w:cs="Arial"/>
                <w:sz w:val="22"/>
                <w:szCs w:val="22"/>
              </w:rPr>
              <w:t xml:space="preserve">. </w:t>
            </w:r>
            <w:r w:rsidR="00FF60C5" w:rsidRPr="00F65B59">
              <w:rPr>
                <w:rFonts w:cs="Arial"/>
                <w:sz w:val="22"/>
                <w:szCs w:val="22"/>
              </w:rPr>
              <w:t xml:space="preserve">Er muss mit dem </w:t>
            </w:r>
            <w:r w:rsidR="000F0876" w:rsidRPr="00F65B59">
              <w:rPr>
                <w:rFonts w:cs="Arial"/>
                <w:sz w:val="22"/>
                <w:szCs w:val="22"/>
              </w:rPr>
              <w:t xml:space="preserve">Hinweiszeichen „Nur </w:t>
            </w:r>
            <w:r w:rsidR="00F43BDE" w:rsidRPr="00F65B59">
              <w:rPr>
                <w:rFonts w:cs="Arial"/>
                <w:sz w:val="22"/>
                <w:szCs w:val="22"/>
              </w:rPr>
              <w:t>Innenraum frei von Zündquellen</w:t>
            </w:r>
            <w:r w:rsidR="00FF60C5" w:rsidRPr="00F65B59">
              <w:rPr>
                <w:rFonts w:cs="Arial"/>
                <w:sz w:val="22"/>
                <w:szCs w:val="22"/>
              </w:rPr>
              <w:t>“ gekennzeichnet sein.</w:t>
            </w:r>
          </w:p>
        </w:tc>
      </w:tr>
      <w:tr w:rsidR="00E81CF0" w:rsidRPr="00F65B59" w:rsidTr="00F65B59">
        <w:trPr>
          <w:cantSplit/>
        </w:trPr>
        <w:tc>
          <w:tcPr>
            <w:tcW w:w="660" w:type="dxa"/>
            <w:tcBorders>
              <w:right w:val="nil"/>
            </w:tcBorders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0E0E0"/>
          </w:tcPr>
          <w:p w:rsidR="005C37E4" w:rsidRPr="00F65B59" w:rsidRDefault="005C37E4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65B59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F65B59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0E0E0"/>
          </w:tcPr>
          <w:p w:rsidR="005C37E4" w:rsidRPr="00F65B59" w:rsidRDefault="00DE7B9A" w:rsidP="00F65B59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Heizen / </w:t>
            </w:r>
            <w:r w:rsidR="005C37E4" w:rsidRPr="00F65B59">
              <w:rPr>
                <w:rFonts w:cs="Arial"/>
                <w:b/>
                <w:szCs w:val="24"/>
              </w:rPr>
              <w:t>Heizgeräte / Destillationen</w:t>
            </w: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9F22BD" w:rsidRDefault="009F22BD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9F22BD" w:rsidRDefault="009F22BD" w:rsidP="00F65B59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9F22BD" w:rsidRDefault="009F22BD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9F22BD" w:rsidRPr="00F65B59" w:rsidRDefault="001E302E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Wärmeschränke, aus denen gesundheitsschädliche Stoffe entweichen können, sind an die Abluft angeschlossen.</w:t>
            </w:r>
          </w:p>
        </w:tc>
      </w:tr>
      <w:tr w:rsidR="00DE7B9A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DE7B9A" w:rsidRPr="00B00CB8" w:rsidRDefault="00DE7B9A" w:rsidP="00F65B59">
            <w:pPr>
              <w:spacing w:before="120"/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F65B59" w:rsidRDefault="00DE7B9A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841F66">
              <w:rPr>
                <w:rFonts w:cs="Arial"/>
                <w:sz w:val="22"/>
                <w:szCs w:val="22"/>
              </w:rPr>
              <w:t>Es wird auf den sicheren Einsatz der Heizquellen geachtet</w:t>
            </w:r>
          </w:p>
        </w:tc>
      </w:tr>
      <w:tr w:rsidR="00DE7B9A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DE7B9A" w:rsidRPr="00B00CB8" w:rsidRDefault="00DE7B9A" w:rsidP="00F65B59">
            <w:pPr>
              <w:spacing w:before="120"/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F65B59" w:rsidRDefault="00DE7B9A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841F66">
              <w:rPr>
                <w:rFonts w:cs="Arial"/>
                <w:sz w:val="22"/>
                <w:szCs w:val="22"/>
              </w:rPr>
              <w:t>Heizvorrichtungen (Heizpilze, Ölbäder) sind schnell absenkbar.</w:t>
            </w:r>
            <w:r>
              <w:rPr>
                <w:rFonts w:cs="Arial"/>
                <w:szCs w:val="24"/>
              </w:rPr>
              <w:br/>
            </w:r>
            <w:r>
              <w:rPr>
                <w:rFonts w:cs="Arial"/>
                <w:i/>
                <w:sz w:val="22"/>
                <w:szCs w:val="22"/>
              </w:rPr>
              <w:t>(Aufstellung auf Laborh</w:t>
            </w:r>
            <w:r w:rsidRPr="00187C3E">
              <w:rPr>
                <w:rFonts w:cs="Arial"/>
                <w:i/>
                <w:sz w:val="22"/>
                <w:szCs w:val="22"/>
              </w:rPr>
              <w:t>ebebühnen)</w:t>
            </w:r>
          </w:p>
        </w:tc>
      </w:tr>
      <w:tr w:rsidR="00DE7B9A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481" w:type="dxa"/>
            <w:shd w:val="clear" w:color="auto" w:fill="auto"/>
          </w:tcPr>
          <w:p w:rsidR="00DE7B9A" w:rsidRPr="00B00CB8" w:rsidRDefault="00DE7B9A" w:rsidP="00F65B59">
            <w:pPr>
              <w:spacing w:before="120"/>
            </w:pP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F65B59" w:rsidRDefault="00DE7B9A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841F66">
              <w:rPr>
                <w:rFonts w:cs="Arial"/>
                <w:sz w:val="22"/>
                <w:szCs w:val="22"/>
              </w:rPr>
              <w:t>Es werden Maßnahmen gegen Siedeverzüge getroffen</w:t>
            </w:r>
            <w:r>
              <w:rPr>
                <w:rFonts w:cs="Arial"/>
                <w:szCs w:val="24"/>
              </w:rPr>
              <w:br/>
            </w:r>
            <w:r w:rsidRPr="00187C3E">
              <w:rPr>
                <w:rFonts w:cs="Arial"/>
                <w:i/>
                <w:sz w:val="22"/>
                <w:szCs w:val="22"/>
              </w:rPr>
              <w:t>(Glasperlen, Raschigringe etc.)</w:t>
            </w: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6D17C1" w:rsidRDefault="006D17C1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D17C1" w:rsidRPr="00B00CB8" w:rsidRDefault="006D17C1" w:rsidP="00F65B59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D17C1" w:rsidRDefault="006D17C1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6D17C1" w:rsidRPr="00F65B59" w:rsidRDefault="006D17C1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Heißluftgebläse (Heatgun) werden nicht in der Nähe brennbarer Flüssigkeiten oder Dämpfe betrieben</w:t>
            </w:r>
            <w:r w:rsidR="00C63F19" w:rsidRPr="00F65B59">
              <w:rPr>
                <w:rFonts w:cs="Arial"/>
                <w:sz w:val="22"/>
                <w:szCs w:val="22"/>
              </w:rPr>
              <w:t xml:space="preserve"> und nicht im Abzug abgelegt.</w:t>
            </w:r>
            <w:r w:rsidRPr="00F65B59">
              <w:rPr>
                <w:rFonts w:cs="Arial"/>
                <w:sz w:val="22"/>
                <w:szCs w:val="22"/>
              </w:rPr>
              <w:br/>
            </w:r>
            <w:r w:rsidRPr="00F65B59">
              <w:rPr>
                <w:rFonts w:cs="Arial"/>
                <w:i/>
                <w:sz w:val="20"/>
              </w:rPr>
              <w:t xml:space="preserve">(Die Vorgaben der </w:t>
            </w:r>
            <w:r w:rsidRPr="00F65B59">
              <w:rPr>
                <w:rFonts w:cs="Arial"/>
                <w:i/>
                <w:color w:val="0000FF"/>
                <w:sz w:val="20"/>
              </w:rPr>
              <w:t>Betriebsanweisung</w:t>
            </w:r>
            <w:r w:rsidRPr="00F65B59">
              <w:rPr>
                <w:rFonts w:cs="Arial"/>
                <w:i/>
                <w:sz w:val="20"/>
              </w:rPr>
              <w:t xml:space="preserve"> werden beachtet)</w:t>
            </w: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6D17C1" w:rsidRDefault="00540012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6D17C1" w:rsidRDefault="00540012" w:rsidP="00F65B59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6D17C1" w:rsidRDefault="00540012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6D17C1" w:rsidRPr="00F65B59" w:rsidRDefault="006D17C1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Als Gasbrenner werden Sicherheitsbrenner mit Zündsicherung und automatischer Gasabschaltung eingesetzt.</w:t>
            </w:r>
          </w:p>
        </w:tc>
      </w:tr>
      <w:tr w:rsidR="00DE7B9A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F65B59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F65B59" w:rsidRDefault="00DE7B9A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Mikrowellengeräte werden regelmäßig auf Schäden an Dichtungen, Fenstern, Abdeckungen und Türkontakten überprüft und ggf. unverzüglich repariert.</w:t>
            </w:r>
            <w:r w:rsidRPr="00F65B59">
              <w:rPr>
                <w:rFonts w:cs="Arial"/>
                <w:sz w:val="22"/>
                <w:szCs w:val="22"/>
              </w:rPr>
              <w:br/>
            </w:r>
            <w:r w:rsidRPr="00F65B59">
              <w:rPr>
                <w:rFonts w:cs="Arial"/>
                <w:i/>
                <w:sz w:val="20"/>
              </w:rPr>
              <w:t>(Bedienungsanleitung des Herstellers beachten)</w:t>
            </w:r>
          </w:p>
        </w:tc>
      </w:tr>
      <w:tr w:rsidR="00DE7B9A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DE7B9A" w:rsidRDefault="00DE7B9A" w:rsidP="00F65B59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DE7B9A" w:rsidRDefault="00DE7B9A" w:rsidP="00F65B59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auto"/>
          </w:tcPr>
          <w:p w:rsidR="00DE7B9A" w:rsidRPr="00F65B59" w:rsidRDefault="00DE7B9A" w:rsidP="00F65B59">
            <w:pPr>
              <w:numPr>
                <w:ilvl w:val="1"/>
                <w:numId w:val="1"/>
              </w:numPr>
              <w:spacing w:before="120" w:after="120"/>
              <w:rPr>
                <w:rFonts w:cs="Arial"/>
                <w:sz w:val="22"/>
                <w:szCs w:val="22"/>
              </w:rPr>
            </w:pPr>
            <w:r w:rsidRPr="00F65B59">
              <w:rPr>
                <w:rFonts w:cs="Arial"/>
                <w:sz w:val="22"/>
                <w:szCs w:val="22"/>
              </w:rPr>
              <w:t>Beim Erhitzen von Flüssigkeiten wird darauf geachtet, dass Siedeverzüge vermieden werden.</w:t>
            </w:r>
            <w:r w:rsidRPr="00F65B59">
              <w:rPr>
                <w:rFonts w:cs="Arial"/>
                <w:sz w:val="22"/>
                <w:szCs w:val="22"/>
              </w:rPr>
              <w:br/>
            </w:r>
            <w:r w:rsidRPr="00F65B59">
              <w:rPr>
                <w:rFonts w:cs="Arial"/>
                <w:i/>
                <w:sz w:val="20"/>
              </w:rPr>
              <w:t>(kleine Ansatzmengen, Bechergläser nur wenige cm hoch befüllen etc)</w:t>
            </w: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tcBorders>
              <w:right w:val="nil"/>
            </w:tcBorders>
            <w:shd w:val="clear" w:color="auto" w:fill="E6E6E6"/>
          </w:tcPr>
          <w:p w:rsidR="00317200" w:rsidRPr="00F65B59" w:rsidRDefault="00317200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317200" w:rsidRPr="00F65B59" w:rsidRDefault="00317200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F65B59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317200" w:rsidRPr="00F65B59" w:rsidRDefault="00317200" w:rsidP="00F65B59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proofErr w:type="gramStart"/>
            <w:r w:rsidRPr="00F65B59">
              <w:rPr>
                <w:rFonts w:cs="Arial"/>
                <w:b/>
                <w:sz w:val="16"/>
                <w:szCs w:val="16"/>
              </w:rPr>
              <w:t>n.</w:t>
            </w:r>
            <w:proofErr w:type="gramEnd"/>
            <w:r w:rsidRPr="00F65B59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18" w:type="dxa"/>
            <w:tcBorders>
              <w:left w:val="single" w:sz="4" w:space="0" w:color="auto"/>
            </w:tcBorders>
            <w:shd w:val="clear" w:color="auto" w:fill="E6E6E6"/>
          </w:tcPr>
          <w:p w:rsidR="00317200" w:rsidRPr="00F65B59" w:rsidRDefault="00317200" w:rsidP="00F65B59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F65B59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E81CF0" w:rsidRPr="00F65B59" w:rsidTr="00F65B59">
        <w:trPr>
          <w:gridAfter w:val="1"/>
          <w:wAfter w:w="12" w:type="dxa"/>
          <w:cantSplit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C37E4" w:rsidRPr="00F65B59" w:rsidRDefault="005C37E4" w:rsidP="00F65B59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Pr="00F65B59" w:rsidRDefault="005C37E4" w:rsidP="00F65B59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</w:tbl>
    <w:p w:rsidR="005C37E4" w:rsidRDefault="005C37E4" w:rsidP="005C37E4"/>
    <w:p w:rsidR="005C37E4" w:rsidRDefault="005C37E4" w:rsidP="005C37E4">
      <w:pPr>
        <w:spacing w:after="0"/>
        <w:sectPr w:rsidR="005C37E4" w:rsidSect="00F65B59">
          <w:headerReference w:type="default" r:id="rId8"/>
          <w:footerReference w:type="default" r:id="rId9"/>
          <w:headerReference w:type="first" r:id="rId10"/>
          <w:pgSz w:w="11906" w:h="16838" w:code="9"/>
          <w:pgMar w:top="1077" w:right="1134" w:bottom="726" w:left="1134" w:header="709" w:footer="181" w:gutter="0"/>
          <w:cols w:space="720"/>
          <w:docGrid w:linePitch="326"/>
        </w:sectPr>
      </w:pPr>
    </w:p>
    <w:tbl>
      <w:tblPr>
        <w:tblW w:w="150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82"/>
        <w:gridCol w:w="2160"/>
        <w:gridCol w:w="1680"/>
      </w:tblGrid>
      <w:tr w:rsidR="005C37E4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 w:rsidP="003A1670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5C37E4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7E4" w:rsidRDefault="005C37E4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C37E4" w:rsidRDefault="005C37E4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>
            <w:pPr>
              <w:pStyle w:val="Textkrp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20"/>
              </w:rPr>
              <w:t>Realisierung bis:</w:t>
            </w:r>
            <w:r>
              <w:rPr>
                <w:rFonts w:cs="Arial"/>
                <w:sz w:val="20"/>
              </w:rPr>
              <w:br/>
              <w:t>Zuständig: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37E4" w:rsidRDefault="005C37E4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5C37E4" w:rsidRDefault="005C37E4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5C37E4" w:rsidRDefault="005C37E4">
            <w:pPr>
              <w:spacing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5C37E4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37E4" w:rsidRDefault="005C37E4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5C37E4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C37E4" w:rsidRDefault="005C37E4">
            <w:pPr>
              <w:pStyle w:val="U1"/>
              <w:rPr>
                <w:rFonts w:ascii="Arial" w:hAnsi="Arial" w:cs="Arial"/>
                <w:sz w:val="20"/>
              </w:rPr>
            </w:pPr>
          </w:p>
        </w:tc>
      </w:tr>
    </w:tbl>
    <w:p w:rsidR="00F65B59" w:rsidRDefault="00F65B59" w:rsidP="00F65B59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271A3F" w:rsidRDefault="00271A3F" w:rsidP="00271A3F">
      <w:pPr>
        <w:spacing w:after="0"/>
      </w:pPr>
    </w:p>
    <w:sectPr w:rsidR="00271A3F" w:rsidSect="005C37E4">
      <w:headerReference w:type="default" r:id="rId11"/>
      <w:footerReference w:type="even" r:id="rId12"/>
      <w:footerReference w:type="default" r:id="rId13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6B" w:rsidRDefault="0031246B">
      <w:r>
        <w:separator/>
      </w:r>
    </w:p>
  </w:endnote>
  <w:endnote w:type="continuationSeparator" w:id="0">
    <w:p w:rsidR="0031246B" w:rsidRDefault="0031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F65B59" w:rsidRPr="00186AA6" w:rsidTr="005256B0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F65B59" w:rsidRPr="00B6508F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F65B59" w:rsidRPr="00186AA6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8685E">
            <w:rPr>
              <w:rFonts w:cs="Arial"/>
              <w:bCs/>
              <w:noProof/>
              <w:sz w:val="22"/>
              <w:szCs w:val="22"/>
            </w:rPr>
            <w:t>4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8685E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F65B59" w:rsidRPr="00B6508F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5C37E4" w:rsidRDefault="005C37E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A9" w:rsidRDefault="00700AA9" w:rsidP="00C11C2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00AA9" w:rsidRDefault="00700AA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19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4173"/>
    </w:tblGrid>
    <w:tr w:rsidR="00F65B59" w:rsidRPr="00186AA6" w:rsidTr="005256B0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F65B59" w:rsidRPr="00B6508F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F65B59" w:rsidRPr="00186AA6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8685E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28685E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4173" w:type="dxa"/>
          <w:shd w:val="clear" w:color="auto" w:fill="auto"/>
          <w:vAlign w:val="center"/>
        </w:tcPr>
        <w:p w:rsidR="00F65B59" w:rsidRPr="00B6508F" w:rsidRDefault="00F65B59" w:rsidP="005256B0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700AA9" w:rsidRDefault="00700AA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6B" w:rsidRDefault="0031246B">
      <w:r>
        <w:separator/>
      </w:r>
    </w:p>
  </w:footnote>
  <w:footnote w:type="continuationSeparator" w:id="0">
    <w:p w:rsidR="0031246B" w:rsidRDefault="0031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B59" w:rsidRDefault="00F65B59">
    <w:pPr>
      <w:pStyle w:val="Kopfzeile"/>
    </w:pPr>
  </w:p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F65B59" w:rsidTr="005256B0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F65B59" w:rsidRPr="003F67C5" w:rsidRDefault="00F65B59" w:rsidP="005256B0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F65B59" w:rsidRPr="003F67C5" w:rsidRDefault="00F65B59" w:rsidP="005256B0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F65B59" w:rsidRPr="008357C3" w:rsidRDefault="00F65B59" w:rsidP="005256B0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F65B59" w:rsidRPr="00F65B59" w:rsidRDefault="00F65B59" w:rsidP="005256B0">
          <w:pPr>
            <w:spacing w:before="120" w:after="120"/>
            <w:jc w:val="center"/>
            <w:rPr>
              <w:b/>
              <w:sz w:val="32"/>
              <w:szCs w:val="32"/>
            </w:rPr>
          </w:pPr>
          <w:r w:rsidRPr="00F65B59">
            <w:rPr>
              <w:rFonts w:cs="Arial"/>
              <w:b/>
              <w:bCs/>
              <w:sz w:val="32"/>
              <w:szCs w:val="32"/>
            </w:rPr>
            <w:t xml:space="preserve">Laborgeräte </w:t>
          </w:r>
          <w:r w:rsidR="00DE7B9A">
            <w:rPr>
              <w:rFonts w:cs="Arial"/>
              <w:b/>
              <w:bCs/>
              <w:sz w:val="32"/>
              <w:szCs w:val="32"/>
            </w:rPr>
            <w:t>und -</w:t>
          </w:r>
          <w:r w:rsidRPr="00F65B59">
            <w:rPr>
              <w:rFonts w:cs="Arial"/>
              <w:b/>
              <w:bCs/>
              <w:sz w:val="32"/>
              <w:szCs w:val="32"/>
            </w:rPr>
            <w:t xml:space="preserve">apparaturen </w:t>
          </w:r>
          <w:r w:rsidR="00DE7B9A">
            <w:rPr>
              <w:rFonts w:cs="Arial"/>
              <w:b/>
              <w:bCs/>
              <w:sz w:val="32"/>
              <w:szCs w:val="32"/>
            </w:rPr>
            <w:t xml:space="preserve">Labortätigkeiten </w:t>
          </w:r>
          <w:r w:rsidRPr="00F65B59">
            <w:rPr>
              <w:rFonts w:cs="Arial"/>
              <w:b/>
              <w:bCs/>
              <w:sz w:val="32"/>
              <w:szCs w:val="32"/>
            </w:rPr>
            <w:t>(Auswahl)</w:t>
          </w:r>
        </w:p>
      </w:tc>
      <w:tc>
        <w:tcPr>
          <w:tcW w:w="2835" w:type="dxa"/>
          <w:vAlign w:val="center"/>
        </w:tcPr>
        <w:p w:rsidR="00F65B59" w:rsidRPr="00507979" w:rsidRDefault="00DC5406" w:rsidP="005256B0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5B59" w:rsidRDefault="00F65B59">
    <w:pPr>
      <w:pStyle w:val="Kopfzeile"/>
    </w:pPr>
  </w:p>
  <w:p w:rsidR="00127F2B" w:rsidRPr="00127F2B" w:rsidRDefault="00127F2B" w:rsidP="00127F2B">
    <w:pPr>
      <w:pStyle w:val="Kopfzeile"/>
      <w:spacing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F65B59" w:rsidTr="005256B0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F65B59" w:rsidRPr="003F67C5" w:rsidRDefault="00F65B59" w:rsidP="005256B0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F65B59" w:rsidRPr="003F67C5" w:rsidRDefault="00F65B59" w:rsidP="005256B0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F65B59" w:rsidRPr="008357C3" w:rsidRDefault="00F65B59" w:rsidP="005256B0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F65B59" w:rsidRPr="003F67C5" w:rsidRDefault="00F65B59" w:rsidP="005256B0">
          <w:pPr>
            <w:spacing w:before="120" w:after="120"/>
            <w:jc w:val="center"/>
            <w:rPr>
              <w:b/>
              <w:sz w:val="36"/>
              <w:szCs w:val="36"/>
            </w:rPr>
          </w:pPr>
          <w:r>
            <w:rPr>
              <w:rFonts w:cs="Arial"/>
              <w:b/>
              <w:bCs/>
              <w:sz w:val="36"/>
              <w:szCs w:val="36"/>
            </w:rPr>
            <w:t>Laborgeräte</w:t>
          </w:r>
          <w:r>
            <w:rPr>
              <w:rFonts w:cs="Arial"/>
              <w:b/>
              <w:bCs/>
              <w:sz w:val="36"/>
              <w:szCs w:val="36"/>
            </w:rPr>
            <w:br/>
            <w:t>Laborapparaturen</w:t>
          </w:r>
        </w:p>
      </w:tc>
      <w:tc>
        <w:tcPr>
          <w:tcW w:w="2835" w:type="dxa"/>
          <w:vAlign w:val="center"/>
        </w:tcPr>
        <w:p w:rsidR="00F65B59" w:rsidRPr="00507979" w:rsidRDefault="00DC5406" w:rsidP="005256B0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2" name="Bild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65B59" w:rsidRDefault="00F65B59">
    <w:pPr>
      <w:pStyle w:val="Kopfzeile"/>
    </w:pPr>
  </w:p>
  <w:p w:rsidR="00127F2B" w:rsidRDefault="00127F2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5120"/>
    </w:tblGrid>
    <w:tr w:rsidR="005C37E4" w:rsidRPr="00F65B59" w:rsidTr="00F65B59">
      <w:tc>
        <w:tcPr>
          <w:tcW w:w="15120" w:type="dxa"/>
          <w:shd w:val="clear" w:color="auto" w:fill="E6E6E6"/>
        </w:tcPr>
        <w:p w:rsidR="005C37E4" w:rsidRPr="00F65B59" w:rsidRDefault="005C37E4" w:rsidP="00F65B59">
          <w:pPr>
            <w:spacing w:before="120" w:after="120"/>
            <w:rPr>
              <w:rFonts w:cs="Arial"/>
              <w:b/>
              <w:szCs w:val="24"/>
            </w:rPr>
          </w:pPr>
          <w:r w:rsidRPr="00F65B59">
            <w:rPr>
              <w:b/>
            </w:rPr>
            <w:t>Gefährdungsbeurteilung:</w:t>
          </w:r>
          <w:r w:rsidR="00F65B59" w:rsidRPr="00F65B59">
            <w:rPr>
              <w:b/>
            </w:rPr>
            <w:t xml:space="preserve"> Laborgeräte und Laborapparaturen</w:t>
          </w:r>
        </w:p>
      </w:tc>
    </w:tr>
  </w:tbl>
  <w:p w:rsidR="005C37E4" w:rsidRDefault="005C37E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DF6"/>
    <w:multiLevelType w:val="multilevel"/>
    <w:tmpl w:val="824282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2FFF"/>
    <w:multiLevelType w:val="multilevel"/>
    <w:tmpl w:val="30B601E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47CDE"/>
    <w:rsid w:val="000924D4"/>
    <w:rsid w:val="000E4B1D"/>
    <w:rsid w:val="000F0876"/>
    <w:rsid w:val="0010335E"/>
    <w:rsid w:val="00127F2B"/>
    <w:rsid w:val="001B3D33"/>
    <w:rsid w:val="001E302E"/>
    <w:rsid w:val="001F53A9"/>
    <w:rsid w:val="002433A9"/>
    <w:rsid w:val="00252C1F"/>
    <w:rsid w:val="00271A3F"/>
    <w:rsid w:val="002867A6"/>
    <w:rsid w:val="0028685E"/>
    <w:rsid w:val="002A5FED"/>
    <w:rsid w:val="002D784A"/>
    <w:rsid w:val="002F7737"/>
    <w:rsid w:val="0031246B"/>
    <w:rsid w:val="00317200"/>
    <w:rsid w:val="00345999"/>
    <w:rsid w:val="003672BC"/>
    <w:rsid w:val="00387076"/>
    <w:rsid w:val="003A1670"/>
    <w:rsid w:val="003A5A47"/>
    <w:rsid w:val="003B38C1"/>
    <w:rsid w:val="00426E3D"/>
    <w:rsid w:val="00452106"/>
    <w:rsid w:val="004D0FA0"/>
    <w:rsid w:val="00501C7A"/>
    <w:rsid w:val="005256B0"/>
    <w:rsid w:val="00540012"/>
    <w:rsid w:val="005C37E4"/>
    <w:rsid w:val="00602356"/>
    <w:rsid w:val="0069119D"/>
    <w:rsid w:val="006B2486"/>
    <w:rsid w:val="006D17C1"/>
    <w:rsid w:val="006D4CA4"/>
    <w:rsid w:val="00700AA9"/>
    <w:rsid w:val="0078750F"/>
    <w:rsid w:val="007A4658"/>
    <w:rsid w:val="008D75A1"/>
    <w:rsid w:val="008F7757"/>
    <w:rsid w:val="00924FD7"/>
    <w:rsid w:val="009F22BD"/>
    <w:rsid w:val="00B354BA"/>
    <w:rsid w:val="00BA7941"/>
    <w:rsid w:val="00C01DD2"/>
    <w:rsid w:val="00C11C2E"/>
    <w:rsid w:val="00C63F19"/>
    <w:rsid w:val="00DA14D2"/>
    <w:rsid w:val="00DC5406"/>
    <w:rsid w:val="00DE0EEF"/>
    <w:rsid w:val="00DE7B9A"/>
    <w:rsid w:val="00E51811"/>
    <w:rsid w:val="00E81CF0"/>
    <w:rsid w:val="00ED324B"/>
    <w:rsid w:val="00F43BDE"/>
    <w:rsid w:val="00F449D9"/>
    <w:rsid w:val="00F57F9D"/>
    <w:rsid w:val="00F65B59"/>
    <w:rsid w:val="00FF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71A3F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C37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127F2B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71A3F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11C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1C2E"/>
  </w:style>
  <w:style w:type="character" w:styleId="Hyperlink">
    <w:name w:val="Hyperlink"/>
    <w:rsid w:val="005C37E4"/>
    <w:rPr>
      <w:color w:val="0000FF"/>
      <w:u w:val="single"/>
    </w:rPr>
  </w:style>
  <w:style w:type="paragraph" w:styleId="Textkrper">
    <w:name w:val="Body Text"/>
    <w:basedOn w:val="Standard"/>
    <w:rsid w:val="005C37E4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5C37E4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5C37E4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5C3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65B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65B5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5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71A3F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C37E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127F2B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271A3F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11C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11C2E"/>
  </w:style>
  <w:style w:type="character" w:styleId="Hyperlink">
    <w:name w:val="Hyperlink"/>
    <w:rsid w:val="005C37E4"/>
    <w:rPr>
      <w:color w:val="0000FF"/>
      <w:u w:val="single"/>
    </w:rPr>
  </w:style>
  <w:style w:type="paragraph" w:styleId="Textkrper">
    <w:name w:val="Body Text"/>
    <w:basedOn w:val="Standard"/>
    <w:rsid w:val="005C37E4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5C37E4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5C37E4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5C3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65B5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65B5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65B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896</Words>
  <Characters>7281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3</cp:revision>
  <cp:lastPrinted>2009-03-02T12:18:00Z</cp:lastPrinted>
  <dcterms:created xsi:type="dcterms:W3CDTF">2021-04-30T10:01:00Z</dcterms:created>
  <dcterms:modified xsi:type="dcterms:W3CDTF">2021-04-30T10:02:00Z</dcterms:modified>
</cp:coreProperties>
</file>