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04179" w:rsidRPr="00104179" w:rsidTr="009C3580">
        <w:tc>
          <w:tcPr>
            <w:tcW w:w="9720" w:type="dxa"/>
            <w:shd w:val="clear" w:color="auto" w:fill="auto"/>
          </w:tcPr>
          <w:p w:rsidR="00104179" w:rsidRPr="00104179" w:rsidRDefault="00F25D7F" w:rsidP="009C3580">
            <w:pPr>
              <w:spacing w:after="120"/>
            </w:pPr>
            <w:bookmarkStart w:id="0" w:name="_GoBack"/>
            <w:bookmarkEnd w:id="0"/>
            <w:r>
              <w:t xml:space="preserve">In den </w:t>
            </w:r>
            <w:r w:rsidR="00104179">
              <w:t>Gebäude</w:t>
            </w:r>
            <w:r>
              <w:t>n</w:t>
            </w:r>
            <w:r w:rsidR="00104179">
              <w:t xml:space="preserve"> der Universität</w:t>
            </w:r>
            <w:r>
              <w:t xml:space="preserve">, die in den 70-er Jahren errichtet </w:t>
            </w:r>
            <w:r w:rsidR="00104179">
              <w:t>wurden</w:t>
            </w:r>
            <w:r>
              <w:t xml:space="preserve">, wurden - </w:t>
            </w:r>
            <w:r w:rsidR="00104179">
              <w:t>wie damals üblich</w:t>
            </w:r>
            <w:r>
              <w:t xml:space="preserve"> -</w:t>
            </w:r>
            <w:r w:rsidR="00104179">
              <w:t xml:space="preserve"> auch asbes</w:t>
            </w:r>
            <w:r>
              <w:t>thaltige Bauprodukte verwendet.</w:t>
            </w:r>
            <w:r w:rsidR="00104179">
              <w:br/>
            </w:r>
            <w:r>
              <w:t>Anfang November 2010 wurden i</w:t>
            </w:r>
            <w:r w:rsidR="00104179">
              <w:t>n de</w:t>
            </w:r>
            <w:r>
              <w:t xml:space="preserve">r Bibliothek </w:t>
            </w:r>
            <w:r w:rsidR="00104179">
              <w:t>Asbestfasern in Staubablagerungen gefunden. Aus Vorsorgeg</w:t>
            </w:r>
            <w:r>
              <w:t xml:space="preserve">ründen ist deshalb auf </w:t>
            </w:r>
            <w:r w:rsidR="00104179">
              <w:t>Asbestprodukte</w:t>
            </w:r>
            <w:r>
              <w:t xml:space="preserve">, die auch außerhalb der Bibliothek verbaut wurden, </w:t>
            </w:r>
            <w:r w:rsidR="00104179">
              <w:t>hinzuweisen. Bekannt sind bis heute Vorkommen in Brandschutzwänden (</w:t>
            </w:r>
            <w:r>
              <w:t>asbesthaltige P</w:t>
            </w:r>
            <w:r w:rsidR="00104179">
              <w:t xml:space="preserve">latten und </w:t>
            </w:r>
            <w:r>
              <w:t>S</w:t>
            </w:r>
            <w:r w:rsidR="00104179">
              <w:t>chnüre)</w:t>
            </w:r>
            <w:r>
              <w:t>. Die Stellen sind i.d.R.</w:t>
            </w:r>
            <w:r w:rsidR="00104179">
              <w:t xml:space="preserve"> bekannt</w:t>
            </w:r>
            <w:r w:rsidR="00FC5871">
              <w:t>,</w:t>
            </w:r>
            <w:r w:rsidR="00104179">
              <w:t xml:space="preserve"> </w:t>
            </w:r>
            <w:r w:rsidR="00FC5871">
              <w:t xml:space="preserve">gekennzeichnet, </w:t>
            </w:r>
            <w:r w:rsidR="00104179">
              <w:t>dokumentiert und durch Schutzanstriche, Schutztapeten oder Versiegelungen geschützt.</w:t>
            </w:r>
            <w:r w:rsidR="00104179">
              <w:br/>
            </w:r>
            <w:r w:rsidR="00A231E8">
              <w:t>Daneben muss allerdings mit versteckten</w:t>
            </w:r>
            <w:r w:rsidR="00BD03CE">
              <w:t xml:space="preserve"> Quellen nicht bekannter a</w:t>
            </w:r>
            <w:r w:rsidR="00A231E8">
              <w:t>sbest</w:t>
            </w:r>
            <w:r w:rsidR="00BD03CE">
              <w:t>haltiger B</w:t>
            </w:r>
            <w:r w:rsidR="00A231E8">
              <w:t>aumaterialien gerechnet werden.</w:t>
            </w:r>
            <w:r w:rsidR="00104179">
              <w:br/>
              <w:t xml:space="preserve">Wir </w:t>
            </w:r>
            <w:r w:rsidR="00A231E8">
              <w:t xml:space="preserve">müssen </w:t>
            </w:r>
            <w:r w:rsidR="00BD03CE">
              <w:t xml:space="preserve">die Funde in der Bibliothek deshalb </w:t>
            </w:r>
            <w:r w:rsidR="00104179">
              <w:t>z</w:t>
            </w:r>
            <w:r w:rsidR="00FC5871">
              <w:t xml:space="preserve">um Anlass </w:t>
            </w:r>
            <w:r w:rsidR="00A231E8">
              <w:t>nehmen</w:t>
            </w:r>
            <w:r w:rsidR="00BD03CE">
              <w:t>,</w:t>
            </w:r>
            <w:r w:rsidR="00A231E8">
              <w:t xml:space="preserve"> KMF- / </w:t>
            </w:r>
            <w:r w:rsidR="00FC5871">
              <w:t>Asbestvorkommen in die</w:t>
            </w:r>
            <w:r w:rsidR="00104179">
              <w:t xml:space="preserve"> Gefährdungsbeurteilung </w:t>
            </w:r>
            <w:r w:rsidR="005E3963">
              <w:t xml:space="preserve">mit </w:t>
            </w:r>
            <w:r w:rsidR="00FC5871">
              <w:t>aufzunehmen, damit für alle Beschäftigten über die bisherigen Informationen hinaus Unterweisungen zum sachgerechten Verhalten durchgeführt werden können (müssen!).</w:t>
            </w:r>
            <w:r w:rsidR="00E236A9">
              <w:br/>
              <w:t>In aller Regel sind</w:t>
            </w:r>
            <w:r w:rsidR="00A231E8">
              <w:t xml:space="preserve"> in den Systemtrennwänden </w:t>
            </w:r>
            <w:r w:rsidR="00E236A9">
              <w:t xml:space="preserve">ältere </w:t>
            </w:r>
            <w:r w:rsidR="00A231E8">
              <w:t>KMF</w:t>
            </w:r>
            <w:r w:rsidR="00E236A9">
              <w:t>-Produkte</w:t>
            </w:r>
            <w:r w:rsidR="00A231E8">
              <w:t xml:space="preserve"> enthalten.</w:t>
            </w:r>
            <w:r w:rsidR="004A3D0B">
              <w:t xml:space="preserve"> Aus diesem Grund sind deshalb</w:t>
            </w:r>
            <w:r w:rsidR="00A231E8">
              <w:t xml:space="preserve"> entsprechende Schutz- und Verhaltensmaßnahmen einzuhalten.</w:t>
            </w:r>
          </w:p>
        </w:tc>
      </w:tr>
    </w:tbl>
    <w:p w:rsidR="00104179" w:rsidRDefault="00104179" w:rsidP="004513C1">
      <w:pPr>
        <w:spacing w:after="12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0047F8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7F8" w:rsidRPr="009C3580" w:rsidRDefault="000047F8" w:rsidP="009C3580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9C3580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F8" w:rsidRPr="009C3580" w:rsidRDefault="000047F8" w:rsidP="009C3580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9C3580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F8" w:rsidRPr="009C3580" w:rsidRDefault="000047F8" w:rsidP="009C3580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9C3580">
              <w:rPr>
                <w:rFonts w:cs="Arial"/>
                <w:b/>
                <w:szCs w:val="24"/>
              </w:rPr>
              <w:t xml:space="preserve">3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7F8" w:rsidRPr="009C3580" w:rsidRDefault="000047F8" w:rsidP="009C3580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9C3580">
              <w:rPr>
                <w:rFonts w:cs="Arial"/>
                <w:b/>
                <w:szCs w:val="24"/>
              </w:rPr>
              <w:t>4</w:t>
            </w:r>
          </w:p>
        </w:tc>
      </w:tr>
      <w:tr w:rsidR="000047F8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0047F8" w:rsidRPr="009C3580" w:rsidRDefault="000047F8" w:rsidP="009C358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C3580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47F8" w:rsidRPr="009C3580" w:rsidRDefault="000047F8" w:rsidP="009C3580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9C3580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47F8" w:rsidRPr="009C3580" w:rsidRDefault="000047F8" w:rsidP="009C358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C3580">
              <w:rPr>
                <w:rFonts w:cs="Arial"/>
                <w:b/>
                <w:sz w:val="16"/>
                <w:szCs w:val="16"/>
              </w:rPr>
              <w:t>n.</w:t>
            </w:r>
            <w:r w:rsidRPr="009C3580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47F8" w:rsidRPr="009C3580" w:rsidRDefault="00AB0DA8" w:rsidP="009C3580">
            <w:pPr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szCs w:val="24"/>
              </w:rPr>
            </w:pPr>
            <w:r w:rsidRPr="009C3580">
              <w:rPr>
                <w:rFonts w:cs="Arial"/>
                <w:b/>
                <w:bCs/>
                <w:szCs w:val="24"/>
              </w:rPr>
              <w:t xml:space="preserve">Organisatorische Maßnahmen </w:t>
            </w:r>
          </w:p>
        </w:tc>
      </w:tr>
      <w:tr w:rsidR="000047F8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47F8" w:rsidRDefault="000047F8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8" w:rsidRDefault="000047F8" w:rsidP="009C358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8" w:rsidRDefault="000047F8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8" w:rsidRPr="005E4DC9" w:rsidRDefault="000047F8" w:rsidP="009C3580">
            <w:pPr>
              <w:numPr>
                <w:ilvl w:val="1"/>
                <w:numId w:val="24"/>
              </w:numPr>
              <w:spacing w:before="60" w:after="60"/>
            </w:pPr>
            <w:r>
              <w:t xml:space="preserve">Sind die Beschäftigten ausreichend </w:t>
            </w:r>
            <w:r w:rsidR="0022570A">
              <w:t xml:space="preserve">über die </w:t>
            </w:r>
            <w:r w:rsidR="00A231E8">
              <w:t xml:space="preserve">KMF / </w:t>
            </w:r>
            <w:r w:rsidR="0022570A">
              <w:t>Asbestproblematik an der Universität informiert?</w:t>
            </w:r>
            <w:r>
              <w:t xml:space="preserve"> </w:t>
            </w:r>
          </w:p>
        </w:tc>
      </w:tr>
      <w:tr w:rsidR="000047F8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47F8" w:rsidRDefault="000047F8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8" w:rsidRDefault="000047F8" w:rsidP="009C358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8" w:rsidRDefault="000047F8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8" w:rsidRDefault="0022570A" w:rsidP="009C3580">
            <w:pPr>
              <w:numPr>
                <w:ilvl w:val="1"/>
                <w:numId w:val="24"/>
              </w:numPr>
              <w:spacing w:before="120" w:after="120"/>
            </w:pPr>
            <w:r>
              <w:t>Wi</w:t>
            </w:r>
            <w:r w:rsidR="00AB0DA8">
              <w:t>rd</w:t>
            </w:r>
            <w:r>
              <w:t xml:space="preserve"> im Rahmen von</w:t>
            </w:r>
            <w:r w:rsidR="00A272FE">
              <w:t xml:space="preserve"> </w:t>
            </w:r>
            <w:r w:rsidR="000047F8">
              <w:t>Unterweisung</w:t>
            </w:r>
            <w:r w:rsidR="00A272FE">
              <w:t>en</w:t>
            </w:r>
            <w:r w:rsidR="000047F8">
              <w:t xml:space="preserve"> </w:t>
            </w:r>
            <w:r w:rsidR="00D65247">
              <w:t>(anh</w:t>
            </w:r>
            <w:r w:rsidR="00AB0DA8">
              <w:t>and de</w:t>
            </w:r>
            <w:r w:rsidR="004874F9">
              <w:t>r beiden Merkblätter</w:t>
            </w:r>
            <w:r>
              <w:t xml:space="preserve"> </w:t>
            </w:r>
            <w:r w:rsidR="00A97E08">
              <w:t>„Asbestvorkommen an der Universität Konstanz – Hinweise zum sachgerechten Umgang für alle Beschäftigten und Studenten“</w:t>
            </w:r>
            <w:r w:rsidR="00BD6AF4">
              <w:t xml:space="preserve"> und „</w:t>
            </w:r>
            <w:r w:rsidR="004874F9">
              <w:t>Künstliche Mineralfasern (KMF)</w:t>
            </w:r>
            <w:r w:rsidR="00BD6AF4">
              <w:t>“</w:t>
            </w:r>
            <w:r w:rsidR="004874F9">
              <w:t xml:space="preserve"> </w:t>
            </w:r>
            <w:r>
              <w:t>auf die Problematik</w:t>
            </w:r>
            <w:r w:rsidR="00A231E8">
              <w:t xml:space="preserve"> </w:t>
            </w:r>
            <w:r w:rsidR="00A97E08">
              <w:t>„</w:t>
            </w:r>
            <w:r w:rsidR="00A231E8">
              <w:t>Asbest und KMF</w:t>
            </w:r>
            <w:r w:rsidR="00A97E08">
              <w:t>“</w:t>
            </w:r>
            <w:r>
              <w:t xml:space="preserve"> und die daraus abgeleiteten Verhaltensweisen verwiesen?</w:t>
            </w:r>
            <w:r w:rsidR="00A97E08">
              <w:br/>
            </w:r>
            <w:r>
              <w:t xml:space="preserve">Unterweisungen sind von den Beschäftigten </w:t>
            </w:r>
            <w:r w:rsidR="000047F8">
              <w:t xml:space="preserve">durch Unterschrift </w:t>
            </w:r>
            <w:r>
              <w:t xml:space="preserve">zu </w:t>
            </w:r>
            <w:r w:rsidR="00A97E08">
              <w:t>bestätig</w:t>
            </w:r>
            <w:r>
              <w:t>en</w:t>
            </w:r>
            <w:r w:rsidR="00D13453">
              <w:t>.</w:t>
            </w:r>
            <w:r w:rsidR="000047F8">
              <w:t xml:space="preserve"> </w:t>
            </w:r>
            <w:r>
              <w:t>Die</w:t>
            </w:r>
            <w:r w:rsidR="000047F8">
              <w:t xml:space="preserve"> </w:t>
            </w:r>
            <w:r w:rsidR="00A272FE">
              <w:t>Unterweisungsnachweise</w:t>
            </w:r>
            <w:r w:rsidR="000047F8">
              <w:t xml:space="preserve"> </w:t>
            </w:r>
            <w:r>
              <w:t xml:space="preserve">sind </w:t>
            </w:r>
            <w:r w:rsidR="000047F8">
              <w:t>auf</w:t>
            </w:r>
            <w:r>
              <w:t>zu</w:t>
            </w:r>
            <w:r w:rsidR="000047F8">
              <w:t>be</w:t>
            </w:r>
            <w:r>
              <w:t>wahren</w:t>
            </w:r>
            <w:r w:rsidR="004874F9">
              <w:t>.</w:t>
            </w:r>
            <w:r w:rsidR="004874F9">
              <w:br/>
            </w:r>
            <w:r>
              <w:t>Für</w:t>
            </w:r>
            <w:r w:rsidR="00A272FE">
              <w:t xml:space="preserve"> ausländische</w:t>
            </w:r>
            <w:r>
              <w:t xml:space="preserve"> Beschäftigte ist</w:t>
            </w:r>
            <w:r w:rsidR="00A272FE">
              <w:t xml:space="preserve"> die Unterweisung </w:t>
            </w:r>
            <w:r w:rsidR="00606235">
              <w:t xml:space="preserve">ggf. </w:t>
            </w:r>
            <w:r w:rsidR="00A272FE">
              <w:t xml:space="preserve">in einer </w:t>
            </w:r>
            <w:r w:rsidR="00606235">
              <w:t xml:space="preserve">anderen </w:t>
            </w:r>
            <w:r w:rsidR="00A272FE">
              <w:t>Sprache, z.B. Englisch</w:t>
            </w:r>
            <w:r>
              <w:t xml:space="preserve"> (Wissenschaftssprache)</w:t>
            </w:r>
            <w:r w:rsidR="00A272FE">
              <w:t>, durch</w:t>
            </w:r>
            <w:r>
              <w:t>zuführen</w:t>
            </w:r>
            <w:r w:rsidR="00A272FE">
              <w:t>.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F204A" w:rsidRDefault="005F204A" w:rsidP="009C3580">
            <w:pPr>
              <w:spacing w:before="12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F204A" w:rsidRPr="009C3580" w:rsidRDefault="005F204A" w:rsidP="009C3580">
            <w:pPr>
              <w:numPr>
                <w:ilvl w:val="0"/>
                <w:numId w:val="24"/>
              </w:numPr>
              <w:spacing w:before="120" w:after="120"/>
              <w:rPr>
                <w:b/>
                <w:szCs w:val="24"/>
              </w:rPr>
            </w:pPr>
            <w:r w:rsidRPr="009C3580">
              <w:rPr>
                <w:rFonts w:cs="Arial"/>
                <w:b/>
                <w:bCs/>
                <w:szCs w:val="24"/>
              </w:rPr>
              <w:t xml:space="preserve">Allgemeine </w:t>
            </w:r>
            <w:r w:rsidR="00FC2907" w:rsidRPr="009C3580">
              <w:rPr>
                <w:rFonts w:cs="Arial"/>
                <w:b/>
                <w:bCs/>
                <w:szCs w:val="24"/>
              </w:rPr>
              <w:t>Schutz</w:t>
            </w:r>
            <w:r w:rsidRPr="009C3580">
              <w:rPr>
                <w:rFonts w:cs="Arial"/>
                <w:b/>
                <w:bCs/>
                <w:szCs w:val="24"/>
              </w:rPr>
              <w:t>maßnahmen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Default="00BD3831" w:rsidP="009C3580">
            <w:pPr>
              <w:numPr>
                <w:ilvl w:val="1"/>
                <w:numId w:val="24"/>
              </w:numPr>
              <w:spacing w:before="60" w:after="60"/>
            </w:pPr>
            <w:r>
              <w:t>Werden m</w:t>
            </w:r>
            <w:r w:rsidR="00FC2907">
              <w:t>it einem „Asbest-</w:t>
            </w:r>
            <w:r w:rsidR="00606235">
              <w:t>Kennzeichen“ (siehe o.g. Merkblatt</w:t>
            </w:r>
            <w:r w:rsidR="00FC2907">
              <w:t xml:space="preserve">) gekennzeichnete Wandabschnitte in </w:t>
            </w:r>
            <w:r w:rsidR="00FC2907" w:rsidRPr="009C3580">
              <w:rPr>
                <w:b/>
              </w:rPr>
              <w:t>keinerlei</w:t>
            </w:r>
            <w:r w:rsidR="00FC2907">
              <w:t xml:space="preserve"> Art und Weise </w:t>
            </w:r>
            <w:r>
              <w:t>bearbeitet</w:t>
            </w:r>
            <w:r w:rsidR="001001B1">
              <w:t xml:space="preserve">? </w:t>
            </w:r>
            <w:r w:rsidR="00606235">
              <w:t>(k</w:t>
            </w:r>
            <w:r>
              <w:t>ein Nagel</w:t>
            </w:r>
            <w:r w:rsidR="00606235">
              <w:t xml:space="preserve"> einschlagen, nicht anbohren, nicht bekleben</w:t>
            </w:r>
            <w:r>
              <w:t>)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/>
              <w:jc w:val="center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Default="00BD3831" w:rsidP="009C3580">
            <w:pPr>
              <w:numPr>
                <w:ilvl w:val="1"/>
                <w:numId w:val="24"/>
              </w:numPr>
              <w:spacing w:before="60" w:after="60"/>
            </w:pPr>
            <w:r>
              <w:t>Werden b</w:t>
            </w:r>
            <w:r w:rsidR="00FC2907">
              <w:t xml:space="preserve">eschädigte Wände mit einer solchen Kennzeichnung umgehend an die Abt. FM und die Arbeitssicherheit per Mail gemeldet, damit </w:t>
            </w:r>
            <w:r>
              <w:t xml:space="preserve">die </w:t>
            </w:r>
            <w:r w:rsidR="00B33942">
              <w:t>Sicherung</w:t>
            </w:r>
            <w:r w:rsidR="001001B1">
              <w:t>smaßnahmen wieder vervollständigt</w:t>
            </w:r>
            <w:r>
              <w:t xml:space="preserve"> werden können</w:t>
            </w:r>
            <w:r w:rsidR="005F204A">
              <w:t>?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/>
              <w:jc w:val="center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Default="00BD3831" w:rsidP="009C3580">
            <w:pPr>
              <w:numPr>
                <w:ilvl w:val="1"/>
                <w:numId w:val="24"/>
              </w:numPr>
              <w:spacing w:before="60" w:after="60"/>
            </w:pPr>
            <w:r>
              <w:t>Werden mechanische Beanspruchungen (Anfahren mit Stühlen, Türenschlagen etc.) bei Wände</w:t>
            </w:r>
            <w:r w:rsidR="00711FC0">
              <w:t>n</w:t>
            </w:r>
            <w:r>
              <w:t xml:space="preserve"> mit einer solchen Asbestkennzeichnung vermieden?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Default="00A231E8" w:rsidP="009C3580">
            <w:pPr>
              <w:numPr>
                <w:ilvl w:val="1"/>
                <w:numId w:val="24"/>
              </w:numPr>
              <w:spacing w:before="120" w:after="120"/>
            </w:pPr>
            <w:r>
              <w:t>Werden all</w:t>
            </w:r>
            <w:r w:rsidR="001001B1">
              <w:t xml:space="preserve">e Systemtrennwände – auch die nicht </w:t>
            </w:r>
            <w:r>
              <w:t>mit dem Gefahrenzeichen „Asbest“ gekennzeichnete</w:t>
            </w:r>
            <w:r w:rsidR="00BD6AF4">
              <w:t>n</w:t>
            </w:r>
            <w:r>
              <w:t xml:space="preserve"> Wände </w:t>
            </w:r>
            <w:r w:rsidR="00D13453">
              <w:t xml:space="preserve">- </w:t>
            </w:r>
            <w:r>
              <w:t>so behandelt</w:t>
            </w:r>
            <w:r w:rsidR="00BD6AF4">
              <w:t>,</w:t>
            </w:r>
            <w:r>
              <w:t xml:space="preserve"> als wäre Asbest verbaut?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204A" w:rsidRDefault="005F204A" w:rsidP="009C3580">
            <w:pPr>
              <w:spacing w:before="12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204A" w:rsidRDefault="005F204A" w:rsidP="009C3580">
            <w:pPr>
              <w:numPr>
                <w:ilvl w:val="0"/>
                <w:numId w:val="24"/>
              </w:numPr>
              <w:spacing w:before="120" w:after="120"/>
            </w:pPr>
            <w:r w:rsidRPr="009C3580">
              <w:rPr>
                <w:rFonts w:cs="Arial"/>
                <w:b/>
                <w:bCs/>
                <w:szCs w:val="24"/>
              </w:rPr>
              <w:t>Sonstiges</w:t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Pr="004A1812" w:rsidRDefault="005F204A" w:rsidP="009C3580">
            <w:pPr>
              <w:numPr>
                <w:ilvl w:val="1"/>
                <w:numId w:val="24"/>
              </w:numPr>
              <w:spacing w:before="60" w:after="60"/>
            </w:pP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Pr="005F204A" w:rsidRDefault="005F204A" w:rsidP="009C3580">
            <w:pPr>
              <w:spacing w:before="120" w:after="120"/>
            </w:pPr>
            <w:r>
              <w:t>3.2</w:t>
            </w:r>
            <w:r w:rsidRPr="005F204A">
              <w:tab/>
            </w:r>
          </w:p>
        </w:tc>
      </w:tr>
      <w:tr w:rsidR="005F204A" w:rsidRPr="009C3580" w:rsidTr="009C358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4A" w:rsidRDefault="005F204A" w:rsidP="009C3580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4A" w:rsidRPr="005F204A" w:rsidRDefault="005F204A" w:rsidP="009C3580">
            <w:pPr>
              <w:spacing w:before="120" w:after="120"/>
            </w:pPr>
            <w:r w:rsidRPr="005F204A">
              <w:t>3.3</w:t>
            </w:r>
            <w:r w:rsidRPr="005F204A">
              <w:tab/>
            </w:r>
          </w:p>
        </w:tc>
      </w:tr>
    </w:tbl>
    <w:p w:rsidR="004513C1" w:rsidRDefault="004513C1" w:rsidP="005F204A">
      <w:pPr>
        <w:numPr>
          <w:ilvl w:val="1"/>
          <w:numId w:val="24"/>
        </w:numPr>
        <w:spacing w:before="60" w:after="60"/>
        <w:sectPr w:rsidR="004513C1" w:rsidSect="004513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8" w:right="1417" w:bottom="1134" w:left="1417" w:header="360" w:footer="708" w:gutter="0"/>
          <w:cols w:space="708"/>
          <w:docGrid w:linePitch="360"/>
        </w:sectPr>
      </w:pPr>
    </w:p>
    <w:tbl>
      <w:tblPr>
        <w:tblW w:w="1488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9536"/>
        <w:gridCol w:w="1984"/>
        <w:gridCol w:w="1985"/>
      </w:tblGrid>
      <w:tr w:rsidR="004513C1" w:rsidRPr="00977A9E" w:rsidTr="0044599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80" w:type="dxa"/>
            <w:tcBorders>
              <w:bottom w:val="nil"/>
            </w:tcBorders>
            <w:vAlign w:val="center"/>
          </w:tcPr>
          <w:p w:rsidR="004513C1" w:rsidRPr="00977A9E" w:rsidRDefault="004513C1" w:rsidP="003F6809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 w:rsidRPr="00977A9E"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536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4513C1" w:rsidRPr="00704D8A" w:rsidTr="0044599A">
        <w:tblPrEx>
          <w:tblCellMar>
            <w:top w:w="0" w:type="dxa"/>
            <w:bottom w:w="0" w:type="dxa"/>
          </w:tblCellMar>
        </w:tblPrEx>
        <w:trPr>
          <w:cantSplit/>
          <w:trHeight w:val="1047"/>
          <w:tblHeader/>
        </w:trPr>
        <w:tc>
          <w:tcPr>
            <w:tcW w:w="13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513C1" w:rsidRPr="004D0EFA" w:rsidRDefault="004513C1" w:rsidP="002818A5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5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513C1" w:rsidRPr="004D0EFA" w:rsidRDefault="004513C1" w:rsidP="002818A5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Vorhandene Defizite / Mängel sowie Maßnahmen zur deren Beseit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 xml:space="preserve">gung  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A5" w:rsidRDefault="004513C1" w:rsidP="002818A5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Realisi</w:t>
            </w:r>
            <w:r w:rsidRPr="004D0EFA">
              <w:rPr>
                <w:rFonts w:cs="Arial"/>
                <w:sz w:val="20"/>
              </w:rPr>
              <w:t>e</w:t>
            </w:r>
            <w:r w:rsidRPr="004D0EFA">
              <w:rPr>
                <w:rFonts w:cs="Arial"/>
                <w:sz w:val="20"/>
              </w:rPr>
              <w:t>rung bis:</w:t>
            </w:r>
          </w:p>
          <w:p w:rsidR="004513C1" w:rsidRPr="004D0EFA" w:rsidRDefault="004513C1" w:rsidP="002818A5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Zuständig: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3C1" w:rsidRDefault="004513C1" w:rsidP="002818A5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Mangel bese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 xml:space="preserve">tigt, Wirksamkeit </w:t>
            </w:r>
            <w:r>
              <w:rPr>
                <w:rFonts w:cs="Arial"/>
                <w:sz w:val="18"/>
              </w:rPr>
              <w:br/>
              <w:t>g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prüft.</w:t>
            </w:r>
          </w:p>
          <w:p w:rsidR="004513C1" w:rsidRDefault="004513C1" w:rsidP="002818A5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4513C1" w:rsidRPr="00704D8A" w:rsidRDefault="004513C1" w:rsidP="002818A5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4513C1" w:rsidRPr="007E6782" w:rsidTr="0044599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E6782" w:rsidRDefault="004513C1" w:rsidP="00CB4C6C">
            <w:pPr>
              <w:pStyle w:val="U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E6782" w:rsidRDefault="004513C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E6782" w:rsidRDefault="004513C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E6782" w:rsidRDefault="004513C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4513C1" w:rsidRPr="00704D8A" w:rsidTr="0044599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BD3831" w:rsidRDefault="00BD3831" w:rsidP="00BD3831">
            <w:pPr>
              <w:pStyle w:val="Aufzhlung"/>
              <w:numPr>
                <w:ilvl w:val="0"/>
                <w:numId w:val="0"/>
              </w:numPr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BD3831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A26245" w:rsidRDefault="00113D09">
            <w:pPr>
              <w:spacing w:before="40" w:after="40"/>
              <w:rPr>
                <w:rFonts w:cs="Arial"/>
                <w:szCs w:val="24"/>
              </w:rPr>
            </w:pPr>
            <w:r w:rsidRPr="00113D09">
              <w:rPr>
                <w:rFonts w:cs="Arial"/>
                <w:szCs w:val="24"/>
                <w:u w:val="single"/>
              </w:rPr>
              <w:t>Zusätzlich:</w:t>
            </w:r>
            <w:r>
              <w:rPr>
                <w:rFonts w:cs="Arial"/>
                <w:szCs w:val="24"/>
              </w:rPr>
              <w:t xml:space="preserve"> </w:t>
            </w:r>
            <w:r w:rsidR="001001B1">
              <w:rPr>
                <w:rFonts w:cs="Arial"/>
                <w:szCs w:val="24"/>
              </w:rPr>
              <w:t>a</w:t>
            </w:r>
            <w:r w:rsidR="00A26245" w:rsidRPr="00A26245">
              <w:rPr>
                <w:rFonts w:cs="Arial"/>
                <w:szCs w:val="24"/>
              </w:rPr>
              <w:t>ktuali</w:t>
            </w:r>
            <w:r w:rsidR="00BD3831" w:rsidRPr="00A26245">
              <w:rPr>
                <w:rFonts w:cs="Arial"/>
                <w:szCs w:val="24"/>
              </w:rPr>
              <w:t>siertes Merkblatt an alle Beschäftigten und Studenten (große</w:t>
            </w:r>
            <w:r w:rsidR="00711FC0">
              <w:rPr>
                <w:rFonts w:cs="Arial"/>
                <w:szCs w:val="24"/>
              </w:rPr>
              <w:t>r E-Mailverteil</w:t>
            </w:r>
            <w:r w:rsidR="00BD3831" w:rsidRPr="00A26245">
              <w:rPr>
                <w:rFonts w:cs="Arial"/>
                <w:szCs w:val="24"/>
              </w:rPr>
              <w:t>er) verschickt.</w:t>
            </w:r>
          </w:p>
          <w:p w:rsidR="00BD3831" w:rsidRPr="00704D8A" w:rsidRDefault="00BD3831">
            <w:pPr>
              <w:spacing w:before="40" w:after="40"/>
              <w:rPr>
                <w:rFonts w:cs="Arial"/>
                <w:sz w:val="20"/>
              </w:rPr>
            </w:pPr>
            <w:r w:rsidRPr="00A26245">
              <w:rPr>
                <w:rFonts w:cs="Arial"/>
                <w:szCs w:val="24"/>
              </w:rPr>
              <w:t xml:space="preserve">Zusätzlich ist auf alle aktuellen Hinweise zur Asbestproblematik in der Bibliothek und </w:t>
            </w:r>
            <w:r w:rsidR="00A26245" w:rsidRPr="00A26245">
              <w:rPr>
                <w:rFonts w:cs="Arial"/>
                <w:szCs w:val="24"/>
              </w:rPr>
              <w:t>angrenzenden Räumen auf der Homepage der Universität zu verweisen.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A26245" w:rsidP="00711FC0">
            <w:pPr>
              <w:spacing w:before="240" w:after="40"/>
              <w:jc w:val="center"/>
              <w:rPr>
                <w:rFonts w:cs="Arial"/>
                <w:sz w:val="20"/>
              </w:rPr>
            </w:pPr>
            <w:r w:rsidRPr="00711FC0">
              <w:rPr>
                <w:rFonts w:cs="Arial"/>
                <w:szCs w:val="24"/>
              </w:rPr>
              <w:t>Universitäts</w:t>
            </w:r>
            <w:r w:rsidR="00711FC0">
              <w:rPr>
                <w:rFonts w:cs="Arial"/>
                <w:szCs w:val="24"/>
              </w:rPr>
              <w:t>-</w:t>
            </w:r>
            <w:r w:rsidRPr="00711FC0">
              <w:rPr>
                <w:rFonts w:cs="Arial"/>
                <w:szCs w:val="24"/>
              </w:rPr>
              <w:t>leitung / Arbeitssicherheit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13C1" w:rsidRPr="00704D8A" w:rsidTr="007E678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A26245" w:rsidRDefault="00A26245" w:rsidP="00A26245">
            <w:pPr>
              <w:pStyle w:val="Aufzhlung"/>
              <w:numPr>
                <w:ilvl w:val="0"/>
                <w:numId w:val="0"/>
              </w:numPr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A26245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5B5E49" w:rsidP="00A26245">
            <w:pPr>
              <w:spacing w:before="240" w:after="40"/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Bei den Regelu</w:t>
            </w:r>
            <w:r w:rsidR="00A26245" w:rsidRPr="00A26245">
              <w:rPr>
                <w:rFonts w:cs="Arial"/>
                <w:szCs w:val="24"/>
              </w:rPr>
              <w:t xml:space="preserve">nterweisungen </w:t>
            </w:r>
            <w:r>
              <w:rPr>
                <w:rFonts w:cs="Arial"/>
                <w:szCs w:val="24"/>
              </w:rPr>
              <w:t>auch auf die Asbest</w:t>
            </w:r>
            <w:r w:rsidR="001001B1">
              <w:rPr>
                <w:rFonts w:cs="Arial"/>
                <w:szCs w:val="24"/>
              </w:rPr>
              <w:t xml:space="preserve"> und KMF-Problematik eingehen. Merkblä</w:t>
            </w:r>
            <w:r>
              <w:rPr>
                <w:rFonts w:cs="Arial"/>
                <w:szCs w:val="24"/>
              </w:rPr>
              <w:t>tt</w:t>
            </w:r>
            <w:r w:rsidR="001001B1">
              <w:rPr>
                <w:rFonts w:cs="Arial"/>
                <w:szCs w:val="24"/>
              </w:rPr>
              <w:t xml:space="preserve">er </w:t>
            </w:r>
            <w:r>
              <w:rPr>
                <w:rFonts w:cs="Arial"/>
                <w:szCs w:val="24"/>
              </w:rPr>
              <w:t>hinzuziehen.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11FC0" w:rsidRDefault="00711FC0" w:rsidP="007E6782">
            <w:pPr>
              <w:spacing w:before="40" w:after="40"/>
              <w:jc w:val="center"/>
              <w:rPr>
                <w:rFonts w:cs="Arial"/>
                <w:szCs w:val="24"/>
              </w:rPr>
            </w:pPr>
            <w:r w:rsidRPr="00711FC0">
              <w:rPr>
                <w:rFonts w:cs="Arial"/>
                <w:szCs w:val="24"/>
              </w:rPr>
              <w:t>Lehrstuhlinhaber, Bereichsleiter, Abteilungsleiter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2818A5" w:rsidRPr="00704D8A" w:rsidTr="007E6782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Default="00A26245" w:rsidP="00A26245">
            <w:pPr>
              <w:pStyle w:val="Aufzhlung"/>
              <w:numPr>
                <w:ilvl w:val="0"/>
                <w:numId w:val="0"/>
              </w:num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A26245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A26245" w:rsidP="00A26245">
            <w:pPr>
              <w:spacing w:before="240" w:after="40"/>
              <w:rPr>
                <w:rFonts w:cs="Arial"/>
                <w:sz w:val="20"/>
              </w:rPr>
            </w:pPr>
            <w:r w:rsidRPr="00A26245">
              <w:rPr>
                <w:rFonts w:cs="Arial"/>
                <w:szCs w:val="24"/>
              </w:rPr>
              <w:t>Regelung strikt einhalten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FC5871" w:rsidP="00FC5871">
            <w:pPr>
              <w:spacing w:before="240" w:after="40"/>
              <w:jc w:val="center"/>
              <w:rPr>
                <w:rFonts w:cs="Arial"/>
                <w:sz w:val="20"/>
              </w:rPr>
            </w:pPr>
            <w:r w:rsidRPr="00A26245">
              <w:rPr>
                <w:rFonts w:cs="Arial"/>
                <w:szCs w:val="24"/>
              </w:rPr>
              <w:t>Beschäftigte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A26245" w:rsidRPr="00704D8A" w:rsidTr="0044599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A26245" w:rsidRDefault="00A26245" w:rsidP="00A26245">
            <w:pPr>
              <w:pStyle w:val="Aufzhlung"/>
              <w:numPr>
                <w:ilvl w:val="0"/>
                <w:numId w:val="0"/>
              </w:numPr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A26245"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704D8A" w:rsidRDefault="00A26245" w:rsidP="00A26245">
            <w:pPr>
              <w:spacing w:before="240" w:after="40"/>
              <w:rPr>
                <w:rFonts w:cs="Arial"/>
                <w:sz w:val="20"/>
              </w:rPr>
            </w:pPr>
            <w:r w:rsidRPr="00A26245">
              <w:rPr>
                <w:rFonts w:cs="Arial"/>
                <w:szCs w:val="24"/>
              </w:rPr>
              <w:t>Beschädigungen der Abteilung FM und der Arbeitssicherheit per Mail mitteilen, damit umgehend die Sicherungsmaßnahmen wieder vervollständigt werden können.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704D8A" w:rsidRDefault="00A26245" w:rsidP="00A26245">
            <w:pPr>
              <w:spacing w:before="240" w:after="40"/>
              <w:jc w:val="center"/>
              <w:rPr>
                <w:rFonts w:cs="Arial"/>
                <w:sz w:val="20"/>
              </w:rPr>
            </w:pPr>
            <w:r w:rsidRPr="00A26245">
              <w:rPr>
                <w:rFonts w:cs="Arial"/>
                <w:szCs w:val="24"/>
              </w:rPr>
              <w:t>Beschäftigte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704D8A" w:rsidRDefault="00A2624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A26245" w:rsidRPr="00704D8A" w:rsidTr="007E6782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Default="00711FC0" w:rsidP="00711FC0">
            <w:pPr>
              <w:pStyle w:val="Aufzhlung"/>
              <w:numPr>
                <w:ilvl w:val="0"/>
                <w:numId w:val="0"/>
              </w:num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711FC0">
              <w:rPr>
                <w:rFonts w:ascii="Arial" w:hAnsi="Arial" w:cs="Arial"/>
                <w:szCs w:val="24"/>
              </w:rPr>
              <w:t>2.3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704D8A" w:rsidRDefault="00711FC0" w:rsidP="00711FC0">
            <w:pPr>
              <w:spacing w:before="240" w:after="40"/>
              <w:rPr>
                <w:rFonts w:cs="Arial"/>
                <w:sz w:val="20"/>
              </w:rPr>
            </w:pPr>
            <w:r w:rsidRPr="00711FC0">
              <w:rPr>
                <w:rFonts w:cs="Arial"/>
                <w:szCs w:val="24"/>
              </w:rPr>
              <w:t>Sorgsamer Umgang</w:t>
            </w:r>
            <w:r w:rsidR="00BD6AF4" w:rsidRPr="00711FC0">
              <w:rPr>
                <w:rFonts w:cs="Arial"/>
                <w:szCs w:val="24"/>
              </w:rPr>
              <w:t xml:space="preserve"> mit Universitätseinrichtungen</w:t>
            </w:r>
            <w:r w:rsidRPr="00711FC0">
              <w:rPr>
                <w:rFonts w:cs="Arial"/>
                <w:szCs w:val="24"/>
              </w:rPr>
              <w:t xml:space="preserve">, insbesondere bei </w:t>
            </w:r>
            <w:r w:rsidR="00BD6AF4">
              <w:rPr>
                <w:rFonts w:cs="Arial"/>
                <w:szCs w:val="24"/>
              </w:rPr>
              <w:t>solchen, bei denen bekannt ist, dass sie Asbest enthalten (können).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711FC0" w:rsidRDefault="00711FC0" w:rsidP="00711FC0">
            <w:pPr>
              <w:spacing w:before="2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Beschäftigte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5" w:rsidRPr="00704D8A" w:rsidRDefault="00A2624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2818A5" w:rsidRPr="00704D8A" w:rsidTr="0044599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Default="002818A5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895640" w:rsidRDefault="00895640" w:rsidP="00895640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4513C1" w:rsidRPr="007E6782" w:rsidRDefault="004513C1" w:rsidP="007E6782">
      <w:pPr>
        <w:spacing w:after="0"/>
        <w:rPr>
          <w:rFonts w:cs="Arial"/>
          <w:sz w:val="16"/>
          <w:szCs w:val="16"/>
        </w:rPr>
      </w:pPr>
    </w:p>
    <w:p w:rsidR="00EF29B2" w:rsidRPr="007E6782" w:rsidRDefault="00EF29B2" w:rsidP="007E6782">
      <w:pPr>
        <w:spacing w:after="0"/>
        <w:rPr>
          <w:sz w:val="2"/>
          <w:szCs w:val="2"/>
        </w:rPr>
      </w:pPr>
    </w:p>
    <w:sectPr w:rsidR="00EF29B2" w:rsidRPr="007E6782" w:rsidSect="0044599A">
      <w:headerReference w:type="even" r:id="rId14"/>
      <w:headerReference w:type="default" r:id="rId15"/>
      <w:footerReference w:type="default" r:id="rId16"/>
      <w:pgSz w:w="16840" w:h="11907" w:orient="landscape" w:code="9"/>
      <w:pgMar w:top="1021" w:right="1105" w:bottom="567" w:left="126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80" w:rsidRDefault="009C3580">
      <w:r>
        <w:separator/>
      </w:r>
    </w:p>
  </w:endnote>
  <w:endnote w:type="continuationSeparator" w:id="0">
    <w:p w:rsidR="009C3580" w:rsidRDefault="009C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F5" w:rsidRDefault="00B651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895640" w:rsidRPr="00186AA6" w:rsidTr="009C3580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895640" w:rsidRPr="00B6508F" w:rsidRDefault="00895640" w:rsidP="009C358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895640" w:rsidRPr="00186AA6" w:rsidRDefault="00895640" w:rsidP="009C358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7772F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7772F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895640" w:rsidRPr="00B6508F" w:rsidRDefault="00895640" w:rsidP="009C358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E12B43" w:rsidRPr="005A73A6" w:rsidRDefault="00E12B43" w:rsidP="005A73A6">
    <w:pPr>
      <w:pStyle w:val="Fuzeile"/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F5" w:rsidRDefault="00B651F5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B651F5" w:rsidRPr="00186AA6" w:rsidTr="00B651F5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B651F5" w:rsidRPr="00B6508F" w:rsidRDefault="00B651F5" w:rsidP="009C358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B651F5" w:rsidRPr="00186AA6" w:rsidRDefault="00B651F5" w:rsidP="009C358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7772F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7772F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B651F5" w:rsidRPr="00B6508F" w:rsidRDefault="00B651F5" w:rsidP="009C358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E12B43" w:rsidRPr="005A73A6" w:rsidRDefault="00E12B43" w:rsidP="005A73A6">
    <w:pPr>
      <w:pStyle w:val="Fuzeile"/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80" w:rsidRDefault="009C3580">
      <w:r>
        <w:separator/>
      </w:r>
    </w:p>
  </w:footnote>
  <w:footnote w:type="continuationSeparator" w:id="0">
    <w:p w:rsidR="009C3580" w:rsidRDefault="009C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F5" w:rsidRDefault="00B651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895640" w:rsidTr="009C3580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694" w:type="dxa"/>
          <w:vAlign w:val="center"/>
        </w:tcPr>
        <w:p w:rsidR="00895640" w:rsidRPr="003F67C5" w:rsidRDefault="00895640" w:rsidP="009C3580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895640" w:rsidRPr="003F67C5" w:rsidRDefault="00895640" w:rsidP="009C3580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95640" w:rsidRPr="008357C3" w:rsidRDefault="00895640" w:rsidP="009C3580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895640" w:rsidRPr="00F65B59" w:rsidRDefault="00895640" w:rsidP="009C3580">
          <w:pPr>
            <w:spacing w:before="120" w:after="120"/>
            <w:jc w:val="center"/>
            <w:rPr>
              <w:b/>
              <w:sz w:val="32"/>
              <w:szCs w:val="32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Potentielle Innenraumbelastung </w:t>
          </w:r>
          <w:r w:rsidRPr="00702F68">
            <w:rPr>
              <w:rFonts w:cs="Arial"/>
              <w:b/>
              <w:bCs/>
              <w:sz w:val="28"/>
              <w:szCs w:val="28"/>
            </w:rPr>
            <w:br/>
          </w:r>
          <w:r>
            <w:rPr>
              <w:rFonts w:cs="Arial"/>
              <w:b/>
              <w:bCs/>
              <w:sz w:val="28"/>
              <w:szCs w:val="28"/>
            </w:rPr>
            <w:t>Asbest / KMF</w:t>
          </w:r>
          <w:r>
            <w:rPr>
              <w:rFonts w:cs="Arial"/>
              <w:b/>
              <w:bCs/>
              <w:sz w:val="28"/>
              <w:szCs w:val="28"/>
            </w:rPr>
            <w:br/>
            <w:t>(lediglich normale Raumnutzung!)</w:t>
          </w:r>
        </w:p>
      </w:tc>
      <w:tc>
        <w:tcPr>
          <w:tcW w:w="2835" w:type="dxa"/>
          <w:vAlign w:val="center"/>
        </w:tcPr>
        <w:p w:rsidR="00895640" w:rsidRPr="00507979" w:rsidRDefault="0067772F" w:rsidP="009C3580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5A72" w:rsidRDefault="00C75A7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F5" w:rsidRDefault="00B651F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43" w:rsidRDefault="00E12B43" w:rsidP="00CB4C6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12B43" w:rsidRDefault="00E12B43" w:rsidP="00CB4C6C">
    <w:pPr>
      <w:pStyle w:val="Kopfzeile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43" w:rsidRPr="005A73A6" w:rsidRDefault="00E12B43" w:rsidP="0044599A">
    <w:pPr>
      <w:shd w:val="clear" w:color="auto" w:fill="CCCCCC"/>
      <w:spacing w:before="120" w:after="120"/>
      <w:ind w:left="-284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>
      <w:rPr>
        <w:rFonts w:cs="Arial"/>
        <w:b/>
        <w:bCs/>
        <w:szCs w:val="24"/>
      </w:rPr>
      <w:t>Potentielle Innenraumbelastung Asbest (lediglich normale Raumnutzung!)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03"/>
    <w:multiLevelType w:val="multilevel"/>
    <w:tmpl w:val="D08AD7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">
    <w:nsid w:val="0A5F0E74"/>
    <w:multiLevelType w:val="multilevel"/>
    <w:tmpl w:val="9C9C74A8"/>
    <w:lvl w:ilvl="0">
      <w:start w:val="1"/>
      <w:numFmt w:val="decimal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E15B8"/>
    <w:multiLevelType w:val="multilevel"/>
    <w:tmpl w:val="1E2CD57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6B617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D52D33"/>
    <w:multiLevelType w:val="multilevel"/>
    <w:tmpl w:val="061CBFF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E13486"/>
    <w:multiLevelType w:val="multilevel"/>
    <w:tmpl w:val="B34E2E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01AAF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8">
    <w:nsid w:val="2ED026AF"/>
    <w:multiLevelType w:val="multilevel"/>
    <w:tmpl w:val="D08AD7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9">
    <w:nsid w:val="30723BCF"/>
    <w:multiLevelType w:val="multilevel"/>
    <w:tmpl w:val="56A681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decimal"/>
      <w:lvlText w:val="%2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0">
    <w:nsid w:val="380601DC"/>
    <w:multiLevelType w:val="hybridMultilevel"/>
    <w:tmpl w:val="E8EC4B0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F3076"/>
    <w:multiLevelType w:val="multilevel"/>
    <w:tmpl w:val="9C9C74A8"/>
    <w:lvl w:ilvl="0">
      <w:start w:val="1"/>
      <w:numFmt w:val="decimal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F5772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3">
    <w:nsid w:val="4D53325A"/>
    <w:multiLevelType w:val="multilevel"/>
    <w:tmpl w:val="FB32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81597"/>
    <w:multiLevelType w:val="hybridMultilevel"/>
    <w:tmpl w:val="ED9E89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E6015"/>
    <w:multiLevelType w:val="multilevel"/>
    <w:tmpl w:val="ABE2B35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4E6C"/>
    <w:multiLevelType w:val="multilevel"/>
    <w:tmpl w:val="B7A0FEB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3.3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7">
    <w:nsid w:val="61CC1F9F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8">
    <w:nsid w:val="658E571E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9">
    <w:nsid w:val="69786CA9"/>
    <w:multiLevelType w:val="multilevel"/>
    <w:tmpl w:val="51B03C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FF25D8D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1">
    <w:nsid w:val="750A56AF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2">
    <w:nsid w:val="757F5739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F2A4C58"/>
    <w:multiLevelType w:val="multilevel"/>
    <w:tmpl w:val="ABE2B35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3"/>
  </w:num>
  <w:num w:numId="8">
    <w:abstractNumId w:val="23"/>
  </w:num>
  <w:num w:numId="9">
    <w:abstractNumId w:val="15"/>
  </w:num>
  <w:num w:numId="10">
    <w:abstractNumId w:val="1"/>
  </w:num>
  <w:num w:numId="11">
    <w:abstractNumId w:val="11"/>
  </w:num>
  <w:num w:numId="12">
    <w:abstractNumId w:val="16"/>
  </w:num>
  <w:num w:numId="13">
    <w:abstractNumId w:val="20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18"/>
  </w:num>
  <w:num w:numId="19">
    <w:abstractNumId w:val="21"/>
  </w:num>
  <w:num w:numId="20">
    <w:abstractNumId w:val="9"/>
  </w:num>
  <w:num w:numId="21">
    <w:abstractNumId w:val="3"/>
  </w:num>
  <w:num w:numId="22">
    <w:abstractNumId w:val="2"/>
  </w:num>
  <w:num w:numId="23">
    <w:abstractNumId w:val="22"/>
  </w:num>
  <w:num w:numId="24">
    <w:abstractNumId w:val="19"/>
  </w:num>
  <w:num w:numId="25">
    <w:abstractNumId w:val="4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B2"/>
    <w:rsid w:val="00000860"/>
    <w:rsid w:val="0000188B"/>
    <w:rsid w:val="000047F8"/>
    <w:rsid w:val="000742CD"/>
    <w:rsid w:val="000D2217"/>
    <w:rsid w:val="000D3EAB"/>
    <w:rsid w:val="000E5B69"/>
    <w:rsid w:val="001001B1"/>
    <w:rsid w:val="00104179"/>
    <w:rsid w:val="00113D09"/>
    <w:rsid w:val="001146AA"/>
    <w:rsid w:val="00132985"/>
    <w:rsid w:val="001608BB"/>
    <w:rsid w:val="001A2F6B"/>
    <w:rsid w:val="0022570A"/>
    <w:rsid w:val="0026207A"/>
    <w:rsid w:val="002722FD"/>
    <w:rsid w:val="00275E19"/>
    <w:rsid w:val="00276AE5"/>
    <w:rsid w:val="002818A5"/>
    <w:rsid w:val="002B6CF0"/>
    <w:rsid w:val="002D7F0A"/>
    <w:rsid w:val="003412BC"/>
    <w:rsid w:val="003D62CA"/>
    <w:rsid w:val="003D65C8"/>
    <w:rsid w:val="003F6809"/>
    <w:rsid w:val="003F7CF5"/>
    <w:rsid w:val="0040036F"/>
    <w:rsid w:val="004418E8"/>
    <w:rsid w:val="0044599A"/>
    <w:rsid w:val="004513C1"/>
    <w:rsid w:val="004874F9"/>
    <w:rsid w:val="004A3D0B"/>
    <w:rsid w:val="004C557B"/>
    <w:rsid w:val="004D1BF7"/>
    <w:rsid w:val="004D389E"/>
    <w:rsid w:val="004F106C"/>
    <w:rsid w:val="00523E1B"/>
    <w:rsid w:val="00524444"/>
    <w:rsid w:val="005662AF"/>
    <w:rsid w:val="005778B3"/>
    <w:rsid w:val="00596F79"/>
    <w:rsid w:val="005A4E5C"/>
    <w:rsid w:val="005A73A6"/>
    <w:rsid w:val="005B5E49"/>
    <w:rsid w:val="005E3963"/>
    <w:rsid w:val="005E4DC9"/>
    <w:rsid w:val="005E7128"/>
    <w:rsid w:val="005F204A"/>
    <w:rsid w:val="00601A0E"/>
    <w:rsid w:val="00606235"/>
    <w:rsid w:val="0067772F"/>
    <w:rsid w:val="006B084B"/>
    <w:rsid w:val="006C4E78"/>
    <w:rsid w:val="00702F68"/>
    <w:rsid w:val="00711FC0"/>
    <w:rsid w:val="007271DD"/>
    <w:rsid w:val="00734D06"/>
    <w:rsid w:val="00754F0C"/>
    <w:rsid w:val="007565E1"/>
    <w:rsid w:val="007942F3"/>
    <w:rsid w:val="007E6782"/>
    <w:rsid w:val="007F1106"/>
    <w:rsid w:val="00801226"/>
    <w:rsid w:val="008158AC"/>
    <w:rsid w:val="008443A8"/>
    <w:rsid w:val="00845FD8"/>
    <w:rsid w:val="0087020B"/>
    <w:rsid w:val="00874A5D"/>
    <w:rsid w:val="00890BEC"/>
    <w:rsid w:val="00895640"/>
    <w:rsid w:val="008A2750"/>
    <w:rsid w:val="008D2179"/>
    <w:rsid w:val="008F499F"/>
    <w:rsid w:val="0091048F"/>
    <w:rsid w:val="009111C9"/>
    <w:rsid w:val="00927394"/>
    <w:rsid w:val="0096351A"/>
    <w:rsid w:val="00963F0F"/>
    <w:rsid w:val="00991D8B"/>
    <w:rsid w:val="009C3580"/>
    <w:rsid w:val="009F7EFD"/>
    <w:rsid w:val="00A231E8"/>
    <w:rsid w:val="00A26245"/>
    <w:rsid w:val="00A272FE"/>
    <w:rsid w:val="00A514EE"/>
    <w:rsid w:val="00A856C8"/>
    <w:rsid w:val="00A97E08"/>
    <w:rsid w:val="00AB0DA8"/>
    <w:rsid w:val="00B05767"/>
    <w:rsid w:val="00B21552"/>
    <w:rsid w:val="00B33942"/>
    <w:rsid w:val="00B651F5"/>
    <w:rsid w:val="00B713A6"/>
    <w:rsid w:val="00B73F33"/>
    <w:rsid w:val="00B90B06"/>
    <w:rsid w:val="00BD03CE"/>
    <w:rsid w:val="00BD3831"/>
    <w:rsid w:val="00BD6AF4"/>
    <w:rsid w:val="00C271E5"/>
    <w:rsid w:val="00C75A72"/>
    <w:rsid w:val="00CA0802"/>
    <w:rsid w:val="00CB4C6C"/>
    <w:rsid w:val="00CC4AC5"/>
    <w:rsid w:val="00CF60D6"/>
    <w:rsid w:val="00D13453"/>
    <w:rsid w:val="00D14E7C"/>
    <w:rsid w:val="00D46063"/>
    <w:rsid w:val="00D5280D"/>
    <w:rsid w:val="00D65247"/>
    <w:rsid w:val="00D65B62"/>
    <w:rsid w:val="00D709E8"/>
    <w:rsid w:val="00E12B43"/>
    <w:rsid w:val="00E236A9"/>
    <w:rsid w:val="00E72929"/>
    <w:rsid w:val="00ED5C14"/>
    <w:rsid w:val="00EE378C"/>
    <w:rsid w:val="00EF29B2"/>
    <w:rsid w:val="00F25D7F"/>
    <w:rsid w:val="00FB11CE"/>
    <w:rsid w:val="00FC2907"/>
    <w:rsid w:val="00FC5871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29B2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13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F29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9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9B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B2"/>
    <w:rPr>
      <w:color w:val="0000FF"/>
      <w:u w:val="single"/>
    </w:rPr>
  </w:style>
  <w:style w:type="paragraph" w:styleId="Sprechblasentext">
    <w:name w:val="Balloon Text"/>
    <w:basedOn w:val="Standard"/>
    <w:semiHidden/>
    <w:rsid w:val="00B0576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513C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13C1"/>
  </w:style>
  <w:style w:type="paragraph" w:customStyle="1" w:styleId="U1">
    <w:name w:val="U1"/>
    <w:basedOn w:val="Standard"/>
    <w:rsid w:val="004513C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13C1"/>
    <w:pPr>
      <w:numPr>
        <w:numId w:val="3"/>
      </w:numPr>
      <w:spacing w:after="0"/>
    </w:pPr>
    <w:rPr>
      <w:rFonts w:ascii="Times New Roman" w:hAnsi="Times New Roman"/>
    </w:rPr>
  </w:style>
  <w:style w:type="character" w:styleId="BesuchterHyperlink">
    <w:name w:val="FollowedHyperlink"/>
    <w:rsid w:val="00754F0C"/>
    <w:rPr>
      <w:color w:val="800080"/>
      <w:u w:val="single"/>
    </w:rPr>
  </w:style>
  <w:style w:type="paragraph" w:styleId="StandardWeb">
    <w:name w:val="Normal (Web)"/>
    <w:basedOn w:val="Standard"/>
    <w:rsid w:val="008158A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29B2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13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F29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9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9B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B2"/>
    <w:rPr>
      <w:color w:val="0000FF"/>
      <w:u w:val="single"/>
    </w:rPr>
  </w:style>
  <w:style w:type="paragraph" w:styleId="Sprechblasentext">
    <w:name w:val="Balloon Text"/>
    <w:basedOn w:val="Standard"/>
    <w:semiHidden/>
    <w:rsid w:val="00B0576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513C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13C1"/>
  </w:style>
  <w:style w:type="paragraph" w:customStyle="1" w:styleId="U1">
    <w:name w:val="U1"/>
    <w:basedOn w:val="Standard"/>
    <w:rsid w:val="004513C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13C1"/>
    <w:pPr>
      <w:numPr>
        <w:numId w:val="3"/>
      </w:numPr>
      <w:spacing w:after="0"/>
    </w:pPr>
    <w:rPr>
      <w:rFonts w:ascii="Times New Roman" w:hAnsi="Times New Roman"/>
    </w:rPr>
  </w:style>
  <w:style w:type="character" w:styleId="BesuchterHyperlink">
    <w:name w:val="FollowedHyperlink"/>
    <w:rsid w:val="00754F0C"/>
    <w:rPr>
      <w:color w:val="800080"/>
      <w:u w:val="single"/>
    </w:rPr>
  </w:style>
  <w:style w:type="paragraph" w:styleId="StandardWeb">
    <w:name w:val="Normal (Web)"/>
    <w:basedOn w:val="Standard"/>
    <w:rsid w:val="008158A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UNI KONSTANZ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Heck</dc:creator>
  <cp:lastModifiedBy>Kai.Schwarz</cp:lastModifiedBy>
  <cp:revision>2</cp:revision>
  <cp:lastPrinted>2011-11-10T10:02:00Z</cp:lastPrinted>
  <dcterms:created xsi:type="dcterms:W3CDTF">2021-04-30T11:37:00Z</dcterms:created>
  <dcterms:modified xsi:type="dcterms:W3CDTF">2021-04-30T11:37:00Z</dcterms:modified>
</cp:coreProperties>
</file>